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E7F41">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560" w:type="dxa"/>
              <w:left w:w="480" w:type="dxa"/>
              <w:bottom w:w="560" w:type="dxa"/>
              <w:right w:w="480" w:type="dxa"/>
            </w:tcMar>
          </w:tcPr>
          <w:p w:rsidR="00CE7F41" w:rsidRDefault="00000000">
            <w:pPr>
              <w:spacing w:after="80"/>
              <w:jc w:val="center"/>
            </w:pPr>
            <w:r>
              <w:rPr>
                <w:b/>
                <w:bCs/>
                <w:color w:val="AACDE6"/>
                <w:spacing w:val="280"/>
                <w:sz w:val="20"/>
                <w:szCs w:val="20"/>
              </w:rPr>
              <w:t>W H I T E   P A P E R</w:t>
            </w:r>
          </w:p>
          <w:p w:rsidR="00CE7F41" w:rsidRDefault="00000000">
            <w:pPr>
              <w:spacing w:before="80" w:after="120"/>
              <w:jc w:val="center"/>
            </w:pPr>
            <w:r>
              <w:rPr>
                <w:b/>
                <w:bCs/>
                <w:color w:val="FFFFFF"/>
                <w:sz w:val="52"/>
                <w:szCs w:val="52"/>
              </w:rPr>
              <w:t>Structure-First AI for HEOR Excel Models</w:t>
            </w:r>
          </w:p>
          <w:p w:rsidR="00CE7F41" w:rsidRDefault="00000000">
            <w:pPr>
              <w:spacing w:before="80" w:after="240"/>
              <w:jc w:val="center"/>
            </w:pPr>
            <w:r>
              <w:rPr>
                <w:i/>
                <w:iCs/>
                <w:color w:val="AACDE6"/>
                <w:sz w:val="24"/>
                <w:szCs w:val="24"/>
              </w:rPr>
              <w:t>From ReAct to SheetAgent to Structural Intelligence: A Literature Review and Architectural Framework</w:t>
            </w:r>
          </w:p>
          <w:p w:rsidR="00CE7F41" w:rsidRDefault="00000000">
            <w:pPr>
              <w:pBdr>
                <w:top w:val="single" w:sz="4" w:space="1" w:color="2E75B6"/>
              </w:pBdr>
              <w:spacing w:before="240" w:after="60"/>
              <w:jc w:val="center"/>
            </w:pPr>
            <w:r>
              <w:rPr>
                <w:color w:val="FFFFFF"/>
                <w:sz w:val="22"/>
                <w:szCs w:val="22"/>
              </w:rPr>
              <w:t xml:space="preserve">Behnam </w:t>
            </w:r>
            <w:proofErr w:type="gramStart"/>
            <w:r>
              <w:rPr>
                <w:color w:val="FFFFFF"/>
                <w:sz w:val="22"/>
                <w:szCs w:val="22"/>
              </w:rPr>
              <w:t>Benady  |</w:t>
            </w:r>
            <w:proofErr w:type="gramEnd"/>
            <w:r>
              <w:rPr>
                <w:color w:val="FFFFFF"/>
                <w:sz w:val="22"/>
                <w:szCs w:val="22"/>
              </w:rPr>
              <w:t xml:space="preserve">  Benady Consulting</w:t>
            </w:r>
          </w:p>
          <w:p w:rsidR="00CE7F41" w:rsidRDefault="00000000">
            <w:pPr>
              <w:spacing w:before="60" w:after="240"/>
              <w:jc w:val="center"/>
            </w:pPr>
            <w:r>
              <w:rPr>
                <w:color w:val="AACDE6"/>
                <w:sz w:val="18"/>
                <w:szCs w:val="18"/>
              </w:rPr>
              <w:t xml:space="preserve">February </w:t>
            </w:r>
            <w:proofErr w:type="gramStart"/>
            <w:r>
              <w:rPr>
                <w:color w:val="AACDE6"/>
                <w:sz w:val="18"/>
                <w:szCs w:val="18"/>
              </w:rPr>
              <w:t>2026  |</w:t>
            </w:r>
            <w:proofErr w:type="gramEnd"/>
            <w:r>
              <w:rPr>
                <w:color w:val="AACDE6"/>
                <w:sz w:val="18"/>
                <w:szCs w:val="18"/>
              </w:rPr>
              <w:t xml:space="preserve">  docs.benadyconsults.com</w:t>
            </w:r>
          </w:p>
        </w:tc>
      </w:tr>
    </w:tbl>
    <w:p w:rsidR="00CE7F41" w:rsidRDefault="00CE7F4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E7F41">
        <w:tblPrEx>
          <w:tblCellMar>
            <w:top w:w="0" w:type="dxa"/>
            <w:bottom w:w="0" w:type="dxa"/>
          </w:tblCellMar>
        </w:tblPrEx>
        <w:tc>
          <w:tcPr>
            <w:tcW w:w="9360" w:type="dxa"/>
            <w:tcBorders>
              <w:top w:val="single" w:sz="8" w:space="0" w:color="2E75B6"/>
              <w:left w:val="none" w:sz="0" w:space="0" w:color="FFFFFF"/>
              <w:bottom w:val="single" w:sz="8" w:space="0" w:color="2E75B6"/>
              <w:right w:val="none" w:sz="0" w:space="0" w:color="FFFFFF"/>
            </w:tcBorders>
            <w:shd w:val="clear" w:color="auto" w:fill="D5E8F0"/>
            <w:tcMar>
              <w:top w:w="200" w:type="dxa"/>
              <w:left w:w="320" w:type="dxa"/>
              <w:bottom w:w="200" w:type="dxa"/>
              <w:right w:w="320" w:type="dxa"/>
            </w:tcMar>
          </w:tcPr>
          <w:p w:rsidR="00CE7F41" w:rsidRDefault="00000000">
            <w:pPr>
              <w:spacing w:after="80"/>
            </w:pPr>
            <w:r>
              <w:rPr>
                <w:b/>
                <w:bCs/>
                <w:color w:val="2E75B6"/>
                <w:spacing w:val="200"/>
                <w:sz w:val="19"/>
                <w:szCs w:val="19"/>
              </w:rPr>
              <w:t>ABSTRACT</w:t>
            </w:r>
          </w:p>
          <w:p w:rsidR="00CE7F41" w:rsidRDefault="00000000">
            <w:pPr>
              <w:spacing w:before="60"/>
              <w:jc w:val="both"/>
            </w:pPr>
            <w:r>
              <w:rPr>
                <w:i/>
                <w:iCs/>
                <w:color w:val="333333"/>
                <w:sz w:val="20"/>
                <w:szCs w:val="20"/>
              </w:rPr>
              <w:t>Health economic (HE) models built in Excel represent some of the most analytically dense and consequentially important computational artefacts in evidence-based medicine. They underpin reimbursement decisions, HTA submissions, and payer negotiations. As large language model (LLM) systems mature, practitioners are exploring whether AI can meaningfully augment these models — for review, interrogation, and controlled modification. This paper argues that the dominant paradigm of document-intelligence (retrieval-augmented generation over cell content) is architecturally insufficient for this task. Drawing on a systematic review of the agentic coding literature (ReAct, SWE-bench, SWE-agent, Agentless), the spreadsheet AI literature (SheetAgent, SpreadsheetLLM, SheetCopilot), and ontology-grounded reasoning systems, we develop the theoretical basis for a structure-first approach. We present XLGEN — a spreadsheet-native AI operating system for HEOR models — and detail its four-pillar architecture: structural extraction, structural knowledge graph construction, HEOR domain ontology as a validation constitution, and agentic graph reasoning. We identify the specific failure modes of naive approaches, the design lessons derived from the coding-agent literature, and the architectural requirements that any trustworthy AI system for HEOR must satisfy. The paper is intended as both a technical reference and a positioning document for the field.</w:t>
            </w:r>
          </w:p>
        </w:tc>
      </w:tr>
    </w:tbl>
    <w:p w:rsidR="00CE7F41" w:rsidRDefault="00CE7F41">
      <w:pPr>
        <w:spacing w:before="160"/>
      </w:pPr>
    </w:p>
    <w:p w:rsidR="00CE7F41" w:rsidRDefault="00CE7F41">
      <w:pPr>
        <w:pBdr>
          <w:bottom w:val="single" w:sz="4" w:space="1" w:color="2E75B6"/>
        </w:pBdr>
        <w:spacing w:before="160" w:after="160"/>
      </w:pPr>
    </w:p>
    <w:p w:rsidR="00CE7F41" w:rsidRDefault="00000000">
      <w:pPr>
        <w:pStyle w:val="Heading1"/>
      </w:pPr>
      <w:r>
        <w:t>1. Introduction</w:t>
      </w:r>
    </w:p>
    <w:p w:rsidR="00CE7F41" w:rsidRDefault="00000000">
      <w:pPr>
        <w:spacing w:before="80" w:after="100"/>
        <w:jc w:val="both"/>
      </w:pPr>
      <w:r>
        <w:rPr>
          <w:color w:val="222222"/>
        </w:rPr>
        <w:t>The application of large language models to complex analytical documents is now well-established. LLMs can summarise clinical study reports, extract key data from published literature, and answer questions about regulatory submissions with reasonable accuracy. These successes share a common assumption: the object being reasoned about is a document. It has linear structure, it contains natural language, and its meaning is distributed across text passages that can be retrieved by similarity.</w:t>
      </w:r>
    </w:p>
    <w:p w:rsidR="00CE7F41" w:rsidRDefault="00000000">
      <w:pPr>
        <w:spacing w:before="80" w:after="100"/>
        <w:jc w:val="both"/>
      </w:pPr>
      <w:r>
        <w:rPr>
          <w:color w:val="222222"/>
        </w:rPr>
        <w:t xml:space="preserve">Health economic models built in Excel share none of these properties. They are not documents. They are executable computational systems — programs written in a domain-specific language (the formula </w:t>
      </w:r>
      <w:r>
        <w:rPr>
          <w:color w:val="222222"/>
        </w:rPr>
        <w:lastRenderedPageBreak/>
        <w:t>language of Excel) across a multi-sheet workspace with cross-sheet dependencies, named symbol tables, and domain-constrained calculation chains. Attempting to reason about them using document intelligence tools is not merely suboptimal; it is categorically wrong. The information that matters — which cell feeds which calculation, how ICER is derived, whether comparator definitions are internally consistent — is structural, not textual.</w:t>
      </w:r>
    </w:p>
    <w:p w:rsidR="00CE7F41" w:rsidRDefault="00000000">
      <w:pPr>
        <w:spacing w:before="80" w:after="100"/>
        <w:jc w:val="both"/>
      </w:pPr>
      <w:r>
        <w:rPr>
          <w:color w:val="222222"/>
        </w:rPr>
        <w:t>This paper documents the intellectual journey that led to XLGEN: a structure-first AI system for HEOR Excel models developed at Benady Consulting. The journey begins with the agentic coding literature, which independently established that structured navigation of computational artefacts requires structural representations — not text retrieval. It moves through the spreadsheet AI literature, which has begun to articulate the specific structural challenges of spreadsheet reasoning. And it arrives at the HEOR domain, where those challenges are compounded by regulatory requirements, audit expectations, and the high-stakes nature of the outputs.</w:t>
      </w:r>
    </w:p>
    <w:p w:rsidR="00CE7F41" w:rsidRDefault="00000000">
      <w:pPr>
        <w:spacing w:before="80" w:after="100"/>
        <w:jc w:val="both"/>
      </w:pPr>
      <w:r>
        <w:rPr>
          <w:color w:val="222222"/>
        </w:rPr>
        <w:t>We write for an audience of AI architects, HEOR practitioners, and health technology assessment professionals who need to evaluate AI claims in this space critically. Our aim is to establish what the literature actually requires, and to describe a system that meets those requirements.</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2. Literature Review: The Evolution of Agentic Coding</w:t>
      </w:r>
    </w:p>
    <w:p w:rsidR="00CE7F41" w:rsidRDefault="00000000">
      <w:pPr>
        <w:spacing w:before="80" w:after="100"/>
        <w:jc w:val="both"/>
      </w:pPr>
      <w:r>
        <w:rPr>
          <w:color w:val="222222"/>
        </w:rPr>
        <w:t>The idea that an LLM could meaningfully interact with a complex computational artefact — a codebase, a spreadsheet, a model — is recent. It required two conceptual advances: the realisation that reasoning and acting could be interleaved in a single model pass, and the realisation that the quality of the agent-environment interface was itself a first-class design variable. We trace the development of these ideas through the literature, culminating in the spreadsheet-specific systems most relevant to XLGEN.</w:t>
      </w:r>
    </w:p>
    <w:p w:rsidR="00CE7F41" w:rsidRDefault="00000000">
      <w:pPr>
        <w:pStyle w:val="Heading2"/>
      </w:pPr>
      <w:proofErr w:type="gramStart"/>
      <w:r>
        <w:t>2.1  The</w:t>
      </w:r>
      <w:proofErr w:type="gramEnd"/>
      <w:r>
        <w:t xml:space="preserve"> Foundation: ReAct and the Emergence of Agentic Loops</w:t>
      </w:r>
    </w:p>
    <w:p w:rsidR="00CE7F41" w:rsidRDefault="00000000">
      <w:pPr>
        <w:spacing w:before="80" w:after="100"/>
        <w:jc w:val="both"/>
      </w:pPr>
      <w:r>
        <w:rPr>
          <w:color w:val="222222"/>
        </w:rPr>
        <w:t>The modern paradigm for LLM agents traces to ReAct, introduced by Yao et al. (2022) and published at ICLR 2023. Before ReAct, reasoning and acting had been studied as separate capabilities. Chain-of-thought prompting (Wei et al., 2022) showed that LLMs could produce structured reasoning traces, improving performance on arithmetic and commonsense tasks. Separately, action-based systems (WebGPT, SayCan) showed that LLMs could select actions in interactive environments. ReAct asked: what if these are combined?</w:t>
      </w:r>
    </w:p>
    <w:p w:rsidR="00CE7F41" w:rsidRDefault="00000000">
      <w:pPr>
        <w:spacing w:before="80" w:after="100"/>
        <w:jc w:val="both"/>
      </w:pPr>
      <w:r>
        <w:rPr>
          <w:color w:val="222222"/>
        </w:rPr>
        <w:t>The ReAct framework generates reasoning traces and task-specific actions in an interleaved manner. At each step, the model produces a Thought (internal reasoning about the current state and plan), an Action (tool call or environment interaction), and receives an Observation (the result). This Thought-Action-Observation loop iterates until the task is complete or the agent determines it cannot proceed. The key insight — which every subsequent coding agent inherits — is that grounding reasoning in environmental feedback prevents the hallucination that arises from pure chain-of-thought generation. When the model can observe the result of its actions, it can correct errors incrementally rather than propagating mistakes through an ungrounded reasoning chain.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30"/>
        <w:gridCol w:w="8030"/>
      </w:tblGrid>
      <w:tr w:rsidR="00CE7F41">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2E75B6"/>
            <w:tcMar>
              <w:top w:w="120" w:type="dxa"/>
              <w:left w:w="120" w:type="dxa"/>
              <w:bottom w:w="120" w:type="dxa"/>
              <w:right w:w="80" w:type="dxa"/>
            </w:tcMar>
          </w:tcPr>
          <w:p w:rsidR="00CE7F41" w:rsidRDefault="00000000">
            <w:pPr>
              <w:jc w:val="center"/>
            </w:pPr>
            <w:r>
              <w:rPr>
                <w:b/>
                <w:bCs/>
                <w:color w:val="FFFFFF"/>
                <w:sz w:val="18"/>
                <w:szCs w:val="18"/>
              </w:rPr>
              <w:t>Foundational Insight</w:t>
            </w:r>
          </w:p>
        </w:tc>
        <w:tc>
          <w:tcPr>
            <w:tcW w:w="9000" w:type="dxa"/>
            <w:tcBorders>
              <w:top w:val="none" w:sz="0" w:space="0" w:color="FFFFFF"/>
              <w:left w:val="single" w:sz="8" w:space="0" w:color="2E75B6"/>
              <w:bottom w:val="none" w:sz="0" w:space="0" w:color="FFFFFF"/>
              <w:right w:val="none" w:sz="0" w:space="0" w:color="FFFFFF"/>
            </w:tcBorders>
            <w:shd w:val="clear" w:color="auto" w:fill="D5E8F0"/>
            <w:tcMar>
              <w:top w:w="120" w:type="dxa"/>
              <w:left w:w="200" w:type="dxa"/>
              <w:bottom w:w="120" w:type="dxa"/>
              <w:right w:w="120" w:type="dxa"/>
            </w:tcMar>
          </w:tcPr>
          <w:p w:rsidR="00CE7F41" w:rsidRDefault="00000000">
            <w:pPr>
              <w:jc w:val="both"/>
            </w:pPr>
            <w:r>
              <w:rPr>
                <w:i/>
                <w:iCs/>
                <w:color w:val="222222"/>
              </w:rPr>
              <w:t>ReAct established that closed-loop reasoning — where the agent observes the consequences of its actions before taking the next step — is fundamentally more reliable than single-pass generation. This principle is the bedrock on which every subsequent agentic system in this review is built.</w:t>
            </w:r>
          </w:p>
        </w:tc>
      </w:tr>
    </w:tbl>
    <w:p w:rsidR="00CE7F41" w:rsidRDefault="00CE7F41">
      <w:pPr>
        <w:spacing w:before="80"/>
      </w:pPr>
    </w:p>
    <w:p w:rsidR="00CE7F41" w:rsidRDefault="00000000">
      <w:pPr>
        <w:pStyle w:val="Heading2"/>
      </w:pPr>
      <w:proofErr w:type="gramStart"/>
      <w:r>
        <w:lastRenderedPageBreak/>
        <w:t>2.2  SWE</w:t>
      </w:r>
      <w:proofErr w:type="gramEnd"/>
      <w:r>
        <w:t>-bench: Establishing the Benchmark for Structural Reasoning</w:t>
      </w:r>
    </w:p>
    <w:p w:rsidR="00CE7F41" w:rsidRDefault="00000000">
      <w:pPr>
        <w:spacing w:before="80" w:after="100"/>
        <w:jc w:val="both"/>
      </w:pPr>
      <w:r>
        <w:rPr>
          <w:color w:val="222222"/>
        </w:rPr>
        <w:t>The next critical step was measurement. Jimenez et al. (2024, ICLR) introduced SWE-bench: a benchmark derived from real-world GitHub issues across 12 Python repositories. Each instance presents the agent with a repository and an issue description; the agent must produce a patch that causes the failing tests to pass. SWE-bench is significant not only as a benchmark but as a conceptual statement. It defines software engineering AI as structural reasoning over a codebase, not code completion from a blank slate. The agent must locate the relevant files, understand cross-file dependencies, reason about function signatures and call chains, and produce a minimal, correct patch.</w:t>
      </w:r>
    </w:p>
    <w:p w:rsidR="00CE7F41" w:rsidRDefault="00000000">
      <w:pPr>
        <w:spacing w:before="80" w:after="100"/>
        <w:jc w:val="both"/>
      </w:pPr>
      <w:r>
        <w:rPr>
          <w:color w:val="222222"/>
        </w:rPr>
        <w:t>Early LLM baselines on SWE-bench were startling in their weakness. Even assisted models (given the correct file to edit) achieved only 4.8% resolution. Unassisted models, which had to navigate the repository themselves, performed worse still. The gap between LLM capability in isolation and LLM capability applied to structured computational artefacts was exposed clearly and quantitatively.</w:t>
      </w:r>
    </w:p>
    <w:p w:rsidR="00CE7F41" w:rsidRDefault="00000000">
      <w:pPr>
        <w:pStyle w:val="Heading2"/>
      </w:pPr>
      <w:proofErr w:type="gramStart"/>
      <w:r>
        <w:t>2.3  Devin</w:t>
      </w:r>
      <w:proofErr w:type="gramEnd"/>
      <w:r>
        <w:t xml:space="preserve"> and the Commercial Demonstration of Agent Viability</w:t>
      </w:r>
    </w:p>
    <w:p w:rsidR="00CE7F41" w:rsidRDefault="00000000">
      <w:pPr>
        <w:spacing w:before="80" w:after="100"/>
        <w:jc w:val="both"/>
      </w:pPr>
      <w:r>
        <w:rPr>
          <w:color w:val="222222"/>
        </w:rPr>
        <w:t>In March 2024, Cognition AI released Devin, the first commercially deployed autonomous AI software engineer. Devin achieved 13.86% on SWE-bench — substantially higher than any previous system, and achieved in an unassisted setting where Devin navigated the repository independently. The significance was not the specific percentage (which subsequent systems have exceeded considerably) but the demonstration of architectural viability: a persistent agent equipped with a shell, code editor, browser, and file system could solve real-world software engineering tasks end-to-end without human intervention. The agentic coding paradigm moved from academic demonstration to commercial product in a single announcement.</w:t>
      </w:r>
    </w:p>
    <w:p w:rsidR="00CE7F41" w:rsidRDefault="00000000">
      <w:pPr>
        <w:pStyle w:val="Heading2"/>
      </w:pPr>
      <w:proofErr w:type="gramStart"/>
      <w:r>
        <w:t>2.4  SWE</w:t>
      </w:r>
      <w:proofErr w:type="gramEnd"/>
      <w:r>
        <w:t>-agent: The Agent-Computer Interface as First-Class Design</w:t>
      </w:r>
    </w:p>
    <w:p w:rsidR="00CE7F41" w:rsidRDefault="00000000">
      <w:pPr>
        <w:spacing w:before="80" w:after="100"/>
        <w:jc w:val="both"/>
      </w:pPr>
      <w:r>
        <w:rPr>
          <w:color w:val="222222"/>
        </w:rPr>
        <w:t>The most architecturally important academic contribution of 2024 was SWE-agent, published by Yang et al. at NeurIPS 2024. SWE-agent achieved 12.5% pass@1 on SWE-bench — matching or exceeding Devin on comparable settings — but its primary contribution was conceptual. The paper introduced the Agent-Computer Interface (ACI) as a first-class design variable.</w:t>
      </w:r>
    </w:p>
    <w:p w:rsidR="00CE7F41" w:rsidRDefault="00000000">
      <w:pPr>
        <w:spacing w:before="80" w:after="100"/>
        <w:jc w:val="both"/>
      </w:pPr>
      <w:r>
        <w:rPr>
          <w:color w:val="222222"/>
        </w:rPr>
        <w:t>The central argument of SWE-agent is that LM agents have specific needs and abilities that differ from human users, and that software interfaces should be designed around those needs rather than borrowed from human-facing tools. Standard command-line tools (grep, sed, vim) are designed for humans who can maintain spatial context, remember prior outputs, and navigate large files visually. Agents have none of these properties. They work within a context window, and every unnecessary token reduces the space available for reasoning. SWE-agent therefore designed purpose-built commands for agents: compact file viewing with line numbers, context-aware editing that shows surrounding lines, search commands that return structured results, and explicit feedback on command failure.</w:t>
      </w:r>
    </w:p>
    <w:p w:rsidR="00CE7F41" w:rsidRDefault="00000000">
      <w:pPr>
        <w:spacing w:before="80" w:after="100"/>
        <w:jc w:val="both"/>
      </w:pPr>
      <w:r>
        <w:rPr>
          <w:color w:val="222222"/>
        </w:rPr>
        <w:t>The key design principles SWE-agent established were: (1) actions should be compact and efficient, consolidating important operations into as few steps as possible; (2) feedback should be informative and structured, telling the agent not just that something failed but why and where; (3) the interface should complement the agent's strengths (pattern recognition, structured reasoning) while compensating for its weaknesses (lack of spatial memory, context window limits). These principles generalise directly to non-code domains, including spreadsheet AI.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1"/>
        <w:gridCol w:w="8439"/>
      </w:tblGrid>
      <w:tr w:rsidR="00CE7F41">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2E75B6"/>
            <w:tcMar>
              <w:top w:w="120" w:type="dxa"/>
              <w:left w:w="120" w:type="dxa"/>
              <w:bottom w:w="120" w:type="dxa"/>
              <w:right w:w="80" w:type="dxa"/>
            </w:tcMar>
          </w:tcPr>
          <w:p w:rsidR="00CE7F41" w:rsidRDefault="00000000">
            <w:pPr>
              <w:jc w:val="center"/>
            </w:pPr>
            <w:r>
              <w:rPr>
                <w:b/>
                <w:bCs/>
                <w:color w:val="FFFFFF"/>
                <w:sz w:val="18"/>
                <w:szCs w:val="18"/>
              </w:rPr>
              <w:t>Design Transfer</w:t>
            </w:r>
          </w:p>
        </w:tc>
        <w:tc>
          <w:tcPr>
            <w:tcW w:w="9000" w:type="dxa"/>
            <w:tcBorders>
              <w:top w:val="none" w:sz="0" w:space="0" w:color="FFFFFF"/>
              <w:left w:val="single" w:sz="8" w:space="0" w:color="2E75B6"/>
              <w:bottom w:val="none" w:sz="0" w:space="0" w:color="FFFFFF"/>
              <w:right w:val="none" w:sz="0" w:space="0" w:color="FFFFFF"/>
            </w:tcBorders>
            <w:shd w:val="clear" w:color="auto" w:fill="D5E8F0"/>
            <w:tcMar>
              <w:top w:w="120" w:type="dxa"/>
              <w:left w:w="200" w:type="dxa"/>
              <w:bottom w:w="120" w:type="dxa"/>
              <w:right w:w="120" w:type="dxa"/>
            </w:tcMar>
          </w:tcPr>
          <w:p w:rsidR="00CE7F41" w:rsidRDefault="00000000">
            <w:pPr>
              <w:jc w:val="both"/>
            </w:pPr>
            <w:r>
              <w:rPr>
                <w:i/>
                <w:iCs/>
                <w:color w:val="222222"/>
              </w:rPr>
              <w:t>The ACI principle from SWE-agent translates directly to Excel AI. The question is not 'how do humans navigate Excel?' but 'what interface does an agent need to reason reliably about an Excel computational graph?' The answer — structured JSON contracts, dependency traversal tools, formula inspection tools — is XLGEN's MCP tool registry.</w:t>
            </w:r>
          </w:p>
        </w:tc>
      </w:tr>
    </w:tbl>
    <w:p w:rsidR="00CE7F41" w:rsidRDefault="00CE7F41">
      <w:pPr>
        <w:spacing w:before="80"/>
      </w:pPr>
    </w:p>
    <w:p w:rsidR="00CE7F41" w:rsidRDefault="00000000">
      <w:pPr>
        <w:pStyle w:val="Heading2"/>
      </w:pPr>
      <w:proofErr w:type="gramStart"/>
      <w:r>
        <w:lastRenderedPageBreak/>
        <w:t>2.5  Agentless</w:t>
      </w:r>
      <w:proofErr w:type="gramEnd"/>
      <w:r>
        <w:t>: The Case for Structural Localization Over Agentic Complexity</w:t>
      </w:r>
    </w:p>
    <w:p w:rsidR="00CE7F41" w:rsidRDefault="00000000">
      <w:pPr>
        <w:spacing w:before="80" w:after="100"/>
        <w:jc w:val="both"/>
      </w:pPr>
      <w:r>
        <w:rPr>
          <w:color w:val="222222"/>
        </w:rPr>
        <w:t>A counterpoint emerged in mid-2024 with Agentless (Xia et al., 2024; FSE 2025). Agentless dispensed with the iterative agent loop entirely, instead implementing a three-phase pipeline: localisation (identifying the relevant files and functions), repair (generating candidate patches), and validation (running tests to select the best patch). On SWE-bench Lite, Agentless achieved 32% resolution at a cost of $0.70 per issue — outperforming all open-source agents at a fraction of the cost.</w:t>
      </w:r>
    </w:p>
    <w:p w:rsidR="00CE7F41" w:rsidRDefault="00000000">
      <w:pPr>
        <w:spacing w:before="80" w:after="100"/>
        <w:jc w:val="both"/>
      </w:pPr>
      <w:r>
        <w:rPr>
          <w:color w:val="222222"/>
        </w:rPr>
        <w:t>The lesson from Agentless is not that agentic loops are unnecessary. It is that structural localization is the bottleneck. A system that correctly identifies the relevant computational region before invoking LLM reasoning will outperform a system that asks the LLM to locate the region itself through open-ended exploration. This finding has direct implications for XLGEN: bounding-box detection and dependency graph construction are the localization layer. If they fail, no amount of agentic sophistication in the reasoning layer will compensate.</w:t>
      </w:r>
    </w:p>
    <w:p w:rsidR="00CE7F41" w:rsidRDefault="00000000">
      <w:pPr>
        <w:pStyle w:val="Heading2"/>
      </w:pPr>
      <w:proofErr w:type="gramStart"/>
      <w:r>
        <w:t>2.6  SWE</w:t>
      </w:r>
      <w:proofErr w:type="gramEnd"/>
      <w:r>
        <w:t>-Search and the Search-Augmented Agent</w:t>
      </w:r>
    </w:p>
    <w:p w:rsidR="00CE7F41" w:rsidRDefault="00000000">
      <w:pPr>
        <w:spacing w:before="80" w:after="100"/>
        <w:jc w:val="both"/>
      </w:pPr>
      <w:r>
        <w:rPr>
          <w:color w:val="222222"/>
        </w:rPr>
        <w:t>Antoniades et al. (2024) extended the SWE-agent paradigm with Monte Carlo Tree Search (MCTS), allowing agents to explore alternative solution branches and backtrack from dead ends. SWE-Search demonstrated a 23% relative improvement over standard agents, highlighting that structured search over the solution space — not just linear reasoning — is a meaningful dimension of agent capability. For XLGEN, this points toward future extensions where the agent can explore alternative formula interpretations or structural hypotheses before committing to an answer.</w:t>
      </w:r>
    </w:p>
    <w:p w:rsidR="00CE7F41" w:rsidRDefault="00000000">
      <w:pPr>
        <w:pStyle w:val="Heading2"/>
      </w:pPr>
      <w:proofErr w:type="gramStart"/>
      <w:r>
        <w:t>2.7  Live</w:t>
      </w:r>
      <w:proofErr w:type="gramEnd"/>
      <w:r>
        <w:t>-SWE-agent: Towards Self-Evolving Agents</w:t>
      </w:r>
    </w:p>
    <w:p w:rsidR="00CE7F41" w:rsidRDefault="00000000">
      <w:pPr>
        <w:spacing w:before="80" w:after="100"/>
        <w:jc w:val="both"/>
      </w:pPr>
      <w:r>
        <w:rPr>
          <w:color w:val="222222"/>
        </w:rPr>
        <w:t>The most recent major contribution in this space is Live-SWE-agent (Xia et al., 2025), which achieved 77.4% on SWE-bench Verified — the highest reported result without test-time scaling. Live-SWE-agent's key innovation is on-the-fly tool creation: the agent can synthesise new tools during runtime when the available tool set is insufficient for the current task. This represents a generalisation of the ACI principle: rather than designing tools upfront, the agent participates in the design of its own interface. This line of research has clear implications for domain-specific agents like XLGEN, where the tool registry may need to expand as new model types and calculation patterns are encountered.</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3. Literature Review: The Evolution of Spreadsheet AI</w:t>
      </w:r>
    </w:p>
    <w:p w:rsidR="00CE7F41" w:rsidRDefault="00000000">
      <w:pPr>
        <w:spacing w:before="80" w:after="100"/>
        <w:jc w:val="both"/>
      </w:pPr>
      <w:r>
        <w:rPr>
          <w:color w:val="222222"/>
        </w:rPr>
        <w:t>While the agentic coding literature developed around software repositories, a parallel literature emerged around spreadsheets. This literature began with simple automation (macro recording, formula suggestion) and evolved toward reasoning about spreadsheet structure. We trace its evolution and identify the specific limitations that motivate XLGEN.</w:t>
      </w:r>
    </w:p>
    <w:p w:rsidR="00CE7F41" w:rsidRDefault="00000000">
      <w:pPr>
        <w:pStyle w:val="Heading2"/>
      </w:pPr>
      <w:proofErr w:type="gramStart"/>
      <w:r>
        <w:t>3.1  Early</w:t>
      </w:r>
      <w:proofErr w:type="gramEnd"/>
      <w:r>
        <w:t xml:space="preserve"> Approaches: Program Synthesis and Formula Completion</w:t>
      </w:r>
    </w:p>
    <w:p w:rsidR="00CE7F41" w:rsidRDefault="00000000">
      <w:pPr>
        <w:spacing w:before="80" w:after="100"/>
        <w:jc w:val="both"/>
      </w:pPr>
      <w:r>
        <w:rPr>
          <w:color w:val="222222"/>
        </w:rPr>
        <w:t>Early AI approaches to spreadsheets focused on program synthesis: given a natural language description and example inputs, synthesise the correct formula. Systems like FlashFill (Gulwani, 2011) and subsequent neural approaches treated spreadsheet assistance as a constrained code generation problem. These systems were effective for single-formula tasks but could not reason about the multi-table, cross-sheet, formula-chain structure of complex models. The problem they solved was local; HEOR model reasoning is inherently global.</w:t>
      </w:r>
    </w:p>
    <w:p w:rsidR="00CE7F41" w:rsidRDefault="00000000">
      <w:pPr>
        <w:pStyle w:val="Heading2"/>
      </w:pPr>
      <w:proofErr w:type="gramStart"/>
      <w:r>
        <w:lastRenderedPageBreak/>
        <w:t>3.2  SheetCopilot</w:t>
      </w:r>
      <w:proofErr w:type="gramEnd"/>
      <w:r>
        <w:t>: The First LLM-Based Spreadsheet Agent</w:t>
      </w:r>
    </w:p>
    <w:p w:rsidR="00CE7F41" w:rsidRDefault="00000000">
      <w:pPr>
        <w:spacing w:before="80" w:after="100"/>
        <w:jc w:val="both"/>
      </w:pPr>
      <w:r>
        <w:rPr>
          <w:color w:val="222222"/>
        </w:rPr>
        <w:t>Li et al. (NeurIPS 2024) introduced SheetCopilot, an LLM-based system that translates natural language instructions into spreadsheet operations. SheetCopilot represents a significant step: it treats spreadsheet manipulation as an agent task, not a static completion task, and uses a tool-calling framework to execute operations. However, SheetCopilot's design is oriented toward task execution — performing the operations a user requests — rather than structural reasoning about an existing model. It does not build a dependency graph, trace formula chains, or validate structural invariants. It acts; it does not reason about structure.</w:t>
      </w:r>
    </w:p>
    <w:p w:rsidR="00CE7F41" w:rsidRDefault="00000000">
      <w:pPr>
        <w:pStyle w:val="Heading2"/>
      </w:pPr>
      <w:proofErr w:type="gramStart"/>
      <w:r>
        <w:t>3.3  SheetAgent</w:t>
      </w:r>
      <w:proofErr w:type="gramEnd"/>
      <w:r>
        <w:t>: Planner-Informer-Retriever Architecture</w:t>
      </w:r>
    </w:p>
    <w:p w:rsidR="00CE7F41" w:rsidRDefault="00000000">
      <w:pPr>
        <w:spacing w:before="80" w:after="100"/>
        <w:jc w:val="both"/>
      </w:pPr>
      <w:r>
        <w:rPr>
          <w:color w:val="222222"/>
        </w:rPr>
        <w:t>The most directly relevant prior work to XLGEN is SheetAgent, introduced by Chen, Yuan, Zhang et al. (arXiv March 2024; published WWW 2025). SheetAgent is described as a generalist agent for spreadsheet reasoning and manipulation, built around a three-module architecture that directly parallels the agentic coding frameworks developed for software repositories.</w:t>
      </w:r>
    </w:p>
    <w:p w:rsidR="00CE7F41" w:rsidRDefault="00000000">
      <w:pPr>
        <w:spacing w:before="80" w:after="100"/>
        <w:jc w:val="both"/>
      </w:pPr>
      <w:r>
        <w:rPr>
          <w:color w:val="222222"/>
        </w:rPr>
        <w:t>The Planner module decomposes complex, long-horizon tasks into subtasks and maintains a high-level plan that is updated as the task progresses. The Informer module gathers contextual information about the spreadsheet's current state — what cells contain, what formulas are present, what the structural layout looks like. The Retriever module executes the actual manipulation operations: writing formulas, reorganising data, creating charts. The three modules collaborate iteratively, with the Planner revising the plan based on observations from the Informer and results from the Retriever.</w:t>
      </w:r>
    </w:p>
    <w:p w:rsidR="00CE7F41" w:rsidRDefault="00000000">
      <w:pPr>
        <w:spacing w:before="80" w:after="100"/>
        <w:jc w:val="both"/>
      </w:pPr>
      <w:r>
        <w:rPr>
          <w:color w:val="222222"/>
        </w:rPr>
        <w:t>The SheetRM benchmark, introduced alongside SheetAgent, features long-horizon tasks with multi-step reasoning dependencies. These are tasks where the correct action at step N depends on the result of step N-1, and where naive one-shot formula generation fails. SheetAgent demonstrated 20-40% pass-rate improvements over baselines including SheetCopilot across multiple benchmarks. Its procedure evaluation methodology — assessing each step via a checklist rather than only the final output — is a methodological contribution in its own right.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E7F41">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60" w:type="dxa"/>
              <w:bottom w:w="80" w:type="dxa"/>
              <w:right w:w="160" w:type="dxa"/>
            </w:tcMar>
          </w:tcPr>
          <w:p w:rsidR="00CE7F41" w:rsidRDefault="00000000">
            <w:r>
              <w:rPr>
                <w:b/>
                <w:bCs/>
                <w:color w:val="FFFFFF"/>
              </w:rPr>
              <w:t>SheetAgent: Key Design Contributions</w:t>
            </w:r>
          </w:p>
        </w:tc>
      </w:tr>
      <w:tr w:rsidR="00CE7F41">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4F4F4"/>
            <w:tcMar>
              <w:top w:w="100" w:type="dxa"/>
              <w:left w:w="160" w:type="dxa"/>
              <w:bottom w:w="100" w:type="dxa"/>
              <w:right w:w="160" w:type="dxa"/>
            </w:tcMar>
          </w:tcPr>
          <w:p w:rsidR="00CE7F41" w:rsidRDefault="00000000">
            <w:pPr>
              <w:pStyle w:val="ListParagraph"/>
              <w:numPr>
                <w:ilvl w:val="0"/>
                <w:numId w:val="2"/>
              </w:numPr>
              <w:spacing w:before="50" w:after="50"/>
            </w:pPr>
            <w:r>
              <w:rPr>
                <w:color w:val="222222"/>
              </w:rPr>
              <w:t>Planner-Informer-Retriever architecture: separates planning (what to do), information gathering (what is the current state), and execution (how to do it)</w:t>
            </w:r>
          </w:p>
          <w:p w:rsidR="00CE7F41" w:rsidRDefault="00000000">
            <w:pPr>
              <w:pStyle w:val="ListParagraph"/>
              <w:numPr>
                <w:ilvl w:val="0"/>
                <w:numId w:val="2"/>
              </w:numPr>
              <w:spacing w:before="50" w:after="50"/>
            </w:pPr>
            <w:r>
              <w:rPr>
                <w:color w:val="222222"/>
              </w:rPr>
              <w:t>Long-horizon task support: iterative reasoning and reflection allows multi-step tasks that fail with one-shot LLM approaches</w:t>
            </w:r>
          </w:p>
          <w:p w:rsidR="00CE7F41" w:rsidRDefault="00000000">
            <w:pPr>
              <w:pStyle w:val="ListParagraph"/>
              <w:numPr>
                <w:ilvl w:val="0"/>
                <w:numId w:val="2"/>
              </w:numPr>
              <w:spacing w:before="50" w:after="50"/>
            </w:pPr>
            <w:r>
              <w:rPr>
                <w:color w:val="222222"/>
              </w:rPr>
              <w:t>SheetRM benchmark: 20-40% pass rate improvements over baselines; procedure-level evaluation methodology</w:t>
            </w:r>
          </w:p>
          <w:p w:rsidR="00CE7F41" w:rsidRDefault="00000000">
            <w:pPr>
              <w:pStyle w:val="ListParagraph"/>
              <w:numPr>
                <w:ilvl w:val="0"/>
                <w:numId w:val="2"/>
              </w:numPr>
              <w:spacing w:before="50" w:after="50"/>
            </w:pPr>
            <w:r>
              <w:rPr>
                <w:color w:val="222222"/>
              </w:rPr>
              <w:t>Dynamic task decomposition: the Planner adapts the task plan based on intermediate observations, not just the initial instruction</w:t>
            </w:r>
          </w:p>
          <w:p w:rsidR="00CE7F41" w:rsidRDefault="00000000">
            <w:pPr>
              <w:pStyle w:val="ListParagraph"/>
              <w:numPr>
                <w:ilvl w:val="0"/>
                <w:numId w:val="2"/>
              </w:numPr>
              <w:spacing w:before="50" w:after="50"/>
            </w:pPr>
            <w:r>
              <w:rPr>
                <w:color w:val="222222"/>
              </w:rPr>
              <w:t>Key limitation: general-purpose; not designed for domain-specific structural reasoning (no formula AST, no dependency graph, no HEOR ontology)</w:t>
            </w:r>
          </w:p>
        </w:tc>
      </w:tr>
    </w:tbl>
    <w:p w:rsidR="00CE7F41" w:rsidRDefault="00CE7F41">
      <w:pPr>
        <w:spacing w:before="80"/>
      </w:pPr>
    </w:p>
    <w:p w:rsidR="00CE7F41" w:rsidRDefault="00000000">
      <w:pPr>
        <w:spacing w:before="80" w:after="100"/>
        <w:jc w:val="both"/>
      </w:pPr>
      <w:r>
        <w:rPr>
          <w:color w:val="222222"/>
        </w:rPr>
        <w:t>SheetAgent's limitations are instructive. The system was designed for general spreadsheet manipulation tasks, not for reasoning about the internal computational structure of existing complex models. It can follow an instruction to fill a column or create a chart; it cannot answer 'which cells determine the ICER in this cost-utility model?' or 'is the discount rate applied consistently across cost and outcome streams?' These questions require formula-level structural navigation, domain-specific knowledge of what a correct cost-effectiveness model looks like, and a validation layer that checks outputs against structural invariants. SheetAgent provides none of these. XLGEN was designed specifically to provide all of them.</w:t>
      </w:r>
    </w:p>
    <w:p w:rsidR="00CE7F41" w:rsidRDefault="00000000">
      <w:pPr>
        <w:pStyle w:val="Heading2"/>
      </w:pPr>
      <w:proofErr w:type="gramStart"/>
      <w:r>
        <w:lastRenderedPageBreak/>
        <w:t>3.4  SpreadsheetLLM</w:t>
      </w:r>
      <w:proofErr w:type="gramEnd"/>
      <w:r>
        <w:t xml:space="preserve"> and SheetCompressor: Encoding for LLM Reasoning</w:t>
      </w:r>
    </w:p>
    <w:p w:rsidR="00CE7F41" w:rsidRDefault="00000000">
      <w:pPr>
        <w:spacing w:before="80" w:after="100"/>
        <w:jc w:val="both"/>
      </w:pPr>
      <w:r>
        <w:rPr>
          <w:color w:val="222222"/>
        </w:rPr>
        <w:t>Concurrently, Microsoft Research introduced SpreadsheetLLM (Dong, Zhao, Tian et al., EMNLP 2024) — the first comprehensive framework for encoding spreadsheet structure for LLM processing. The central problem SpreadsheetLLM addresses is representational: raw serialisation of a large spreadsheet (cell address, value, format, for every cell) is prohibitively expensive in tokens and degrades LLM accuracy as context length increases.</w:t>
      </w:r>
    </w:p>
    <w:p w:rsidR="00CE7F41" w:rsidRDefault="00000000">
      <w:pPr>
        <w:spacing w:before="80" w:after="100"/>
        <w:jc w:val="both"/>
      </w:pPr>
      <w:r>
        <w:rPr>
          <w:color w:val="222222"/>
        </w:rPr>
        <w:t>SheetCompressor, SpreadsheetLLM's core contribution, uses three modules to address this. Structural-anchor-based compression identifies structurally significant cells — the boundaries of tables, headers, and distinct data regions — and uses them as anchors to compress the remaining content. Inverse index translation eliminates redundancy by encoding repeated values once with an index. Data-format-aware aggregation collapses homogeneous regions (e.g., columns of dates or currencies) into compact representations. The result is a 96% reduction in token usage with an average compression ratio of 25x, while achieving 78.9% F1 on spreadsheet table detection.</w:t>
      </w:r>
    </w:p>
    <w:p w:rsidR="00CE7F41" w:rsidRDefault="00000000">
      <w:pPr>
        <w:spacing w:before="80" w:after="100"/>
        <w:jc w:val="both"/>
      </w:pPr>
      <w:r>
        <w:rPr>
          <w:color w:val="222222"/>
        </w:rPr>
        <w:t>SpreadsheetLLM's significance for XLGEN is conceptual rather than architectural. It demonstrates that structural signal — cell formatting, spatial groupings, boundary detection — is the correct basis for spreadsheet representation, not raw serialisation. The structural anchor concept is closely related to XLGEN's bounding-box detection: both systems recognise that tables are the primary structural unit of a spreadsheet, and that identifying table boundaries is the prerequisite for any meaningful downstream reasoning. The difference is that SpreadsheetLLM compresses this structure into tokens for an LLM; XLGEN constructs a knowledge graph from it for deterministic traversal.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1"/>
        <w:gridCol w:w="8159"/>
      </w:tblGrid>
      <w:tr w:rsidR="00CE7F41">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2E75B6"/>
            <w:tcMar>
              <w:top w:w="120" w:type="dxa"/>
              <w:left w:w="120" w:type="dxa"/>
              <w:bottom w:w="120" w:type="dxa"/>
              <w:right w:w="80" w:type="dxa"/>
            </w:tcMar>
          </w:tcPr>
          <w:p w:rsidR="00CE7F41" w:rsidRDefault="00000000">
            <w:pPr>
              <w:jc w:val="center"/>
            </w:pPr>
            <w:r>
              <w:rPr>
                <w:b/>
                <w:bCs/>
                <w:color w:val="FFFFFF"/>
                <w:sz w:val="18"/>
                <w:szCs w:val="18"/>
              </w:rPr>
              <w:t>Convergent Finding</w:t>
            </w:r>
          </w:p>
        </w:tc>
        <w:tc>
          <w:tcPr>
            <w:tcW w:w="9000" w:type="dxa"/>
            <w:tcBorders>
              <w:top w:val="none" w:sz="0" w:space="0" w:color="FFFFFF"/>
              <w:left w:val="single" w:sz="8" w:space="0" w:color="2E75B6"/>
              <w:bottom w:val="none" w:sz="0" w:space="0" w:color="FFFFFF"/>
              <w:right w:val="none" w:sz="0" w:space="0" w:color="FFFFFF"/>
            </w:tcBorders>
            <w:shd w:val="clear" w:color="auto" w:fill="D5E8F0"/>
            <w:tcMar>
              <w:top w:w="120" w:type="dxa"/>
              <w:left w:w="200" w:type="dxa"/>
              <w:bottom w:w="120" w:type="dxa"/>
              <w:right w:w="120" w:type="dxa"/>
            </w:tcMar>
          </w:tcPr>
          <w:p w:rsidR="00CE7F41" w:rsidRDefault="00000000">
            <w:pPr>
              <w:jc w:val="both"/>
            </w:pPr>
            <w:r>
              <w:rPr>
                <w:i/>
                <w:iCs/>
                <w:color w:val="222222"/>
              </w:rPr>
              <w:t>Both SheetAgent and SpreadsheetLLM independently converged on the same insight: the structural layout of a spreadsheet — tables, boundaries, headers — is the foundation of any reliable spreadsheet reasoning system. Neither system went far enough for the HEOR domain: no formula tracing, no dependency graph, no domain ontology, no validation layer.</w:t>
            </w:r>
          </w:p>
        </w:tc>
      </w:tr>
    </w:tbl>
    <w:p w:rsidR="00CE7F41" w:rsidRDefault="00CE7F41">
      <w:pPr>
        <w:spacing w:before="80"/>
      </w:pPr>
    </w:p>
    <w:p w:rsidR="00CE7F41" w:rsidRDefault="00000000">
      <w:pPr>
        <w:pStyle w:val="Heading2"/>
      </w:pPr>
      <w:proofErr w:type="gramStart"/>
      <w:r>
        <w:t>3.5  SpreadsheetBench</w:t>
      </w:r>
      <w:proofErr w:type="gramEnd"/>
      <w:r>
        <w:t xml:space="preserve"> and the Limits of Current Systems</w:t>
      </w:r>
    </w:p>
    <w:p w:rsidR="00CE7F41" w:rsidRDefault="00000000">
      <w:pPr>
        <w:spacing w:before="80" w:after="100"/>
        <w:jc w:val="both"/>
      </w:pPr>
      <w:r>
        <w:rPr>
          <w:color w:val="222222"/>
        </w:rPr>
        <w:t>Ma et al. (2024) introduced SpreadsheetBench, derived from 912 real user questions scraped from online Excel forums. Unlike synthetic benchmarks, SpreadsheetBench features the messy complexity of real-world spreadsheet tasks: multiple tables on a single sheet, non-standard relational structures, abundant non-textual elements. The benchmark reveals that even state-of-the-art spreadsheet agents perform poorly on the kinds of structural complexity that characterise real professional spreadsheets. This finding is directly relevant to HEOR models, which routinely exhibit exactly these characteristics: multiple computational tables per sheet, complex cross-sheet dependencies, embedded charts and buttons, and non-standard layout conventions that differ across modelling firms and HTA contexts.</w:t>
      </w:r>
    </w:p>
    <w:p w:rsidR="00CE7F41" w:rsidRDefault="00000000">
      <w:pPr>
        <w:pStyle w:val="Heading2"/>
      </w:pPr>
      <w:proofErr w:type="gramStart"/>
      <w:r>
        <w:t>3.6  What</w:t>
      </w:r>
      <w:proofErr w:type="gramEnd"/>
      <w:r>
        <w:t xml:space="preserve"> the Spreadsheet AI Literature Has Not Addressed</w:t>
      </w:r>
    </w:p>
    <w:p w:rsidR="00CE7F41" w:rsidRDefault="00000000">
      <w:pPr>
        <w:spacing w:before="80" w:after="100"/>
        <w:jc w:val="both"/>
      </w:pPr>
      <w:r>
        <w:rPr>
          <w:color w:val="222222"/>
        </w:rPr>
        <w:t>A systematic review of the spreadsheet AI literature reveals a consistent pattern: every system addresses reasoning over generic data tables. None addresses reasoning over domain-specific computational models. The distinction is critical. A data table has values. A computational model has formula logic, dependency chains, calculation sequences, and domain-specific structural invariants. Reasoning about a cost-utility model requires knowing not just where the values are, but which cells compute incremental costs, which cells compute incremental effects, and whether the ICER is derived as the ratio of those two quantities. This knowledge is encoded in the model's formula structure — and validated against the structural requirements of HEOR methodology. No existing system in the literature does this. XLGEN was built to fill this gap.</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4. The Structure-First Argument</w:t>
      </w:r>
    </w:p>
    <w:p w:rsidR="00CE7F41" w:rsidRDefault="00000000">
      <w:pPr>
        <w:spacing w:before="80" w:after="100"/>
        <w:jc w:val="both"/>
      </w:pPr>
      <w:r>
        <w:rPr>
          <w:color w:val="222222"/>
        </w:rPr>
        <w:t>The convergent finding from both the agentic coding and spreadsheet AI literatures is that structural representation of the target artefact is the prerequisite for reliable AI reasoning. This section makes the structure-first argument explicitly for HEOR Excel models.</w:t>
      </w:r>
    </w:p>
    <w:p w:rsidR="00CE7F41" w:rsidRDefault="00000000">
      <w:pPr>
        <w:pStyle w:val="Heading2"/>
      </w:pPr>
      <w:proofErr w:type="gramStart"/>
      <w:r>
        <w:t>4.1  Excel</w:t>
      </w:r>
      <w:proofErr w:type="gramEnd"/>
      <w:r>
        <w:t xml:space="preserve"> is a Programming Language</w:t>
      </w:r>
    </w:p>
    <w:p w:rsidR="00CE7F41" w:rsidRDefault="00000000">
      <w:pPr>
        <w:spacing w:before="80" w:after="100"/>
        <w:jc w:val="both"/>
      </w:pPr>
      <w:r>
        <w:rPr>
          <w:color w:val="222222"/>
        </w:rPr>
        <w:t>The argument begins with a categorical claim: Excel is a programming language, not a document format. A health economic model built in Excel is a program. It has an executable semantics: every cell with a formula computes a value by evaluating an expression. Named ranges are variables. Cross-sheet references are function calls. The dependency graph — the directed acyclic graph of which cells depend on which other cells — is the call graph of the program. The ICER displayed in the results sheet is the return value of a computation that may trace back through a dozen intermediate sheets.</w:t>
      </w:r>
    </w:p>
    <w:p w:rsidR="00CE7F41" w:rsidRDefault="00000000">
      <w:pPr>
        <w:spacing w:before="80" w:after="100"/>
        <w:jc w:val="both"/>
      </w:pPr>
      <w:r>
        <w:rPr>
          <w:color w:val="222222"/>
        </w:rPr>
        <w:t>This is not a metaphor. It has a precise technical consequence: the methods that work for reasoning about programs work for reasoning about Excel HE models, and the methods that work for reasoning about documents do not. The coding agent literature has established empirically and theoretically that structural navigation — dependency graph traversal, symbol resolution, formula inspection — is required for reliable reasoning about programs. The same requirement applies here.</w:t>
      </w:r>
    </w:p>
    <w:p w:rsidR="00CE7F41" w:rsidRDefault="00000000">
      <w:pPr>
        <w:pStyle w:val="Heading2"/>
      </w:pPr>
      <w:proofErr w:type="gramStart"/>
      <w:r>
        <w:t>4.2  What</w:t>
      </w:r>
      <w:proofErr w:type="gramEnd"/>
      <w:r>
        <w:t xml:space="preserve"> Naive RAG Gets Wrong</w:t>
      </w:r>
    </w:p>
    <w:p w:rsidR="00CE7F41" w:rsidRDefault="00000000">
      <w:pPr>
        <w:spacing w:before="80" w:after="100"/>
        <w:jc w:val="both"/>
      </w:pPr>
      <w:r>
        <w:rPr>
          <w:color w:val="222222"/>
        </w:rPr>
        <w:t>Retrieval-augmented generation over Excel cell content fails for reasons that can be stated precisely, not merely claimed. A chunk-based embedding index of cell content loses all formula structure: the embedding of '=</w:t>
      </w:r>
      <w:proofErr w:type="gramStart"/>
      <w:r>
        <w:rPr>
          <w:color w:val="222222"/>
        </w:rPr>
        <w:t>SUM(</w:t>
      </w:r>
      <w:proofErr w:type="gramEnd"/>
      <w:r>
        <w:rPr>
          <w:color w:val="222222"/>
        </w:rPr>
        <w:t>E5:E100)*disc_rate_cost' is a semantic representation of that string, not a representation of the computational dependency it encodes. A top-k retrieval over such an index cannot find the cells that determine a result cell, because the dependency chain is not in the content — it is in the formula relationships.</w:t>
      </w:r>
    </w:p>
    <w:p w:rsidR="00CE7F41" w:rsidRDefault="00000000">
      <w:pPr>
        <w:spacing w:before="80" w:after="100"/>
        <w:jc w:val="both"/>
      </w:pPr>
      <w:r>
        <w:rPr>
          <w:color w:val="222222"/>
        </w:rPr>
        <w:t xml:space="preserve">Named ranges present the same problem. The string 'disc_rate_cost' appears in a formula as a symbol reference. Its value is defined elsewhere, potentially on a different sheet, potentially through a chain of intermediate definitions. Naive retrieval finds the cells that contain the string; it cannot resolve the reference to its computational meaning. When the LLM then </w:t>
      </w:r>
      <w:proofErr w:type="gramStart"/>
      <w:r>
        <w:rPr>
          <w:color w:val="222222"/>
        </w:rPr>
        <w:t>synthesises</w:t>
      </w:r>
      <w:proofErr w:type="gramEnd"/>
      <w:r>
        <w:rPr>
          <w:color w:val="222222"/>
        </w:rPr>
        <w:t xml:space="preserve"> an answer using these retrieved cells, it operates on a representation that has severed the computational relationships that make the answer correct. The result is hallucination of structure that does not exist, or correct-sounding answers that are wrong about dependencies.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1"/>
        <w:gridCol w:w="8569"/>
      </w:tblGrid>
      <w:tr w:rsidR="00CE7F41">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2E75B6"/>
            <w:tcMar>
              <w:top w:w="120" w:type="dxa"/>
              <w:left w:w="120" w:type="dxa"/>
              <w:bottom w:w="120" w:type="dxa"/>
              <w:right w:w="80" w:type="dxa"/>
            </w:tcMar>
          </w:tcPr>
          <w:p w:rsidR="00CE7F41" w:rsidRDefault="00000000">
            <w:pPr>
              <w:jc w:val="center"/>
            </w:pPr>
            <w:r>
              <w:rPr>
                <w:b/>
                <w:bCs/>
                <w:color w:val="FFFFFF"/>
                <w:sz w:val="18"/>
                <w:szCs w:val="18"/>
              </w:rPr>
              <w:t>Failure Mode</w:t>
            </w:r>
          </w:p>
        </w:tc>
        <w:tc>
          <w:tcPr>
            <w:tcW w:w="9000" w:type="dxa"/>
            <w:tcBorders>
              <w:top w:val="none" w:sz="0" w:space="0" w:color="FFFFFF"/>
              <w:left w:val="single" w:sz="8" w:space="0" w:color="2E75B6"/>
              <w:bottom w:val="none" w:sz="0" w:space="0" w:color="FFFFFF"/>
              <w:right w:val="none" w:sz="0" w:space="0" w:color="FFFFFF"/>
            </w:tcBorders>
            <w:shd w:val="clear" w:color="auto" w:fill="D5E8F0"/>
            <w:tcMar>
              <w:top w:w="120" w:type="dxa"/>
              <w:left w:w="200" w:type="dxa"/>
              <w:bottom w:w="120" w:type="dxa"/>
              <w:right w:w="120" w:type="dxa"/>
            </w:tcMar>
          </w:tcPr>
          <w:p w:rsidR="00CE7F41" w:rsidRDefault="00000000">
            <w:pPr>
              <w:jc w:val="both"/>
            </w:pPr>
            <w:r>
              <w:rPr>
                <w:i/>
                <w:iCs/>
                <w:color w:val="222222"/>
              </w:rPr>
              <w:t>Naive RAG on an Excel HEOR model cannot answer 'What drives the cost difference?' because answering requires dependency graph traversal from the result cell backward to input parameters. No retrieval index encodes this traversal. The question is structurally unanswerable with document intelligence tools.</w:t>
            </w:r>
          </w:p>
        </w:tc>
      </w:tr>
    </w:tbl>
    <w:p w:rsidR="00CE7F41" w:rsidRDefault="00CE7F41">
      <w:pPr>
        <w:spacing w:before="80"/>
      </w:pPr>
    </w:p>
    <w:p w:rsidR="00CE7F41" w:rsidRDefault="00000000">
      <w:pPr>
        <w:pStyle w:val="Heading2"/>
      </w:pPr>
      <w:proofErr w:type="gramStart"/>
      <w:r>
        <w:t>4.3  The</w:t>
      </w:r>
      <w:proofErr w:type="gramEnd"/>
      <w:r>
        <w:t xml:space="preserve"> Coding Agent Analogy Made Precise</w:t>
      </w:r>
    </w:p>
    <w:p w:rsidR="00CE7F41" w:rsidRDefault="00000000">
      <w:pPr>
        <w:spacing w:before="80" w:after="100"/>
        <w:jc w:val="both"/>
      </w:pPr>
      <w:r>
        <w:rPr>
          <w:color w:val="222222"/>
        </w:rPr>
        <w:t>SWE-agent works because it has access to an ACI that provides what a coding agent needs: file navigation, search, structured editing, and feedback. Claude Code works because code has native structure: files, functions, classes, call graphs, type systems, test suites. An agent with access to these structures can reason reliably. Without them, it hallucinates.</w:t>
      </w:r>
    </w:p>
    <w:p w:rsidR="00CE7F41" w:rsidRDefault="00000000">
      <w:pPr>
        <w:spacing w:before="80" w:after="100"/>
        <w:jc w:val="both"/>
      </w:pPr>
      <w:proofErr w:type="gramStart"/>
      <w:r>
        <w:rPr>
          <w:color w:val="222222"/>
        </w:rPr>
        <w:lastRenderedPageBreak/>
        <w:t>Excel</w:t>
      </w:r>
      <w:proofErr w:type="gramEnd"/>
      <w:r>
        <w:rPr>
          <w:color w:val="222222"/>
        </w:rPr>
        <w:t xml:space="preserve"> HE models lack this native structure. The formula language is executable, but its structure is not exposed through standard interfaces. There is no Excel LSP. There is no standard dependency graph API. Named ranges are not surfaced as a typed symbol table. XLGEN's first responsibility is to manufacture the structural representations that the agentic coding literature has established are required for reliable reasoning. This is the job of the structural extraction layer.</w:t>
      </w:r>
    </w:p>
    <w:p w:rsidR="00CE7F41" w:rsidRDefault="00CE7F4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E7F41">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60" w:type="dxa"/>
              <w:bottom w:w="80" w:type="dxa"/>
              <w:right w:w="160" w:type="dxa"/>
            </w:tcMar>
          </w:tcPr>
          <w:p w:rsidR="00CE7F41" w:rsidRDefault="00000000">
            <w:r>
              <w:rPr>
                <w:b/>
                <w:bCs/>
                <w:color w:val="FFFFFF"/>
              </w:rPr>
              <w:t>The Structural Homology: What Excel AI Requires</w:t>
            </w:r>
          </w:p>
        </w:tc>
      </w:tr>
      <w:tr w:rsidR="00CE7F41">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4F4F4"/>
            <w:tcMar>
              <w:top w:w="100" w:type="dxa"/>
              <w:left w:w="160" w:type="dxa"/>
              <w:bottom w:w="100" w:type="dxa"/>
              <w:right w:w="160" w:type="dxa"/>
            </w:tcMar>
          </w:tcPr>
          <w:p w:rsidR="00CE7F41" w:rsidRDefault="00000000">
            <w:pPr>
              <w:spacing w:before="60" w:after="60"/>
            </w:pPr>
            <w:r>
              <w:rPr>
                <w:b/>
                <w:bCs/>
                <w:color w:val="FFFFFF"/>
              </w:rPr>
              <w:t>Claude Code / SWE-agent has:</w:t>
            </w:r>
          </w:p>
          <w:p w:rsidR="00CE7F41" w:rsidRDefault="00000000">
            <w:pPr>
              <w:pStyle w:val="ListParagraph"/>
              <w:numPr>
                <w:ilvl w:val="0"/>
                <w:numId w:val="2"/>
              </w:numPr>
              <w:spacing w:before="50" w:after="50"/>
            </w:pPr>
            <w:r>
              <w:rPr>
                <w:color w:val="222222"/>
              </w:rPr>
              <w:t xml:space="preserve">AST of source </w:t>
            </w:r>
            <w:proofErr w:type="gramStart"/>
            <w:r>
              <w:rPr>
                <w:color w:val="222222"/>
              </w:rPr>
              <w:t>files  →</w:t>
            </w:r>
            <w:proofErr w:type="gramEnd"/>
            <w:r>
              <w:rPr>
                <w:color w:val="222222"/>
              </w:rPr>
              <w:t xml:space="preserve">  XLGEN: Formula AST extracted from cell expressions</w:t>
            </w:r>
          </w:p>
          <w:p w:rsidR="00CE7F41" w:rsidRDefault="00000000">
            <w:pPr>
              <w:pStyle w:val="ListParagraph"/>
              <w:numPr>
                <w:ilvl w:val="0"/>
                <w:numId w:val="2"/>
              </w:numPr>
              <w:spacing w:before="50" w:after="50"/>
            </w:pPr>
            <w:r>
              <w:rPr>
                <w:color w:val="222222"/>
              </w:rPr>
              <w:t xml:space="preserve">Dependency graph (call </w:t>
            </w:r>
            <w:proofErr w:type="gramStart"/>
            <w:r>
              <w:rPr>
                <w:color w:val="222222"/>
              </w:rPr>
              <w:t>graph)  →</w:t>
            </w:r>
            <w:proofErr w:type="gramEnd"/>
            <w:r>
              <w:rPr>
                <w:color w:val="222222"/>
              </w:rPr>
              <w:t xml:space="preserve">  XLGEN: Cell-level dependency graph (precedents + dependents)</w:t>
            </w:r>
          </w:p>
          <w:p w:rsidR="00CE7F41" w:rsidRDefault="00000000">
            <w:pPr>
              <w:pStyle w:val="ListParagraph"/>
              <w:numPr>
                <w:ilvl w:val="0"/>
                <w:numId w:val="2"/>
              </w:numPr>
              <w:spacing w:before="50" w:after="50"/>
            </w:pPr>
            <w:r>
              <w:rPr>
                <w:color w:val="222222"/>
              </w:rPr>
              <w:t xml:space="preserve">Symbol table (names, </w:t>
            </w:r>
            <w:proofErr w:type="gramStart"/>
            <w:r>
              <w:rPr>
                <w:color w:val="222222"/>
              </w:rPr>
              <w:t>types)  →</w:t>
            </w:r>
            <w:proofErr w:type="gramEnd"/>
            <w:r>
              <w:rPr>
                <w:color w:val="222222"/>
              </w:rPr>
              <w:t xml:space="preserve">  XLGEN: Named range registry with type inference</w:t>
            </w:r>
          </w:p>
          <w:p w:rsidR="00CE7F41" w:rsidRDefault="00000000">
            <w:pPr>
              <w:pStyle w:val="ListParagraph"/>
              <w:numPr>
                <w:ilvl w:val="0"/>
                <w:numId w:val="2"/>
              </w:numPr>
              <w:spacing w:before="50" w:after="50"/>
            </w:pPr>
            <w:r>
              <w:rPr>
                <w:color w:val="222222"/>
              </w:rPr>
              <w:t xml:space="preserve">Language Server </w:t>
            </w:r>
            <w:proofErr w:type="gramStart"/>
            <w:r>
              <w:rPr>
                <w:color w:val="222222"/>
              </w:rPr>
              <w:t>Protocol  →</w:t>
            </w:r>
            <w:proofErr w:type="gramEnd"/>
            <w:r>
              <w:rPr>
                <w:color w:val="222222"/>
              </w:rPr>
              <w:t xml:space="preserve">  XLGEN: MCP tool registry (formula.trace, dep_graph.neighbors, table.inspect)</w:t>
            </w:r>
          </w:p>
          <w:p w:rsidR="00CE7F41" w:rsidRDefault="00000000">
            <w:pPr>
              <w:pStyle w:val="ListParagraph"/>
              <w:numPr>
                <w:ilvl w:val="0"/>
                <w:numId w:val="2"/>
              </w:numPr>
              <w:spacing w:before="50" w:after="50"/>
            </w:pPr>
            <w:r>
              <w:rPr>
                <w:color w:val="222222"/>
              </w:rPr>
              <w:t xml:space="preserve">Test suite for </w:t>
            </w:r>
            <w:proofErr w:type="gramStart"/>
            <w:r>
              <w:rPr>
                <w:color w:val="222222"/>
              </w:rPr>
              <w:t>validation  →</w:t>
            </w:r>
            <w:proofErr w:type="gramEnd"/>
            <w:r>
              <w:rPr>
                <w:color w:val="222222"/>
              </w:rPr>
              <w:t xml:space="preserve">  XLGEN: HEOR constitution rules (ICER derivation, comparator consistency)</w:t>
            </w:r>
          </w:p>
          <w:p w:rsidR="00CE7F41" w:rsidRDefault="00000000">
            <w:pPr>
              <w:pStyle w:val="ListParagraph"/>
              <w:numPr>
                <w:ilvl w:val="0"/>
                <w:numId w:val="2"/>
              </w:numPr>
              <w:spacing w:before="50" w:after="50"/>
            </w:pPr>
            <w:r>
              <w:rPr>
                <w:color w:val="222222"/>
              </w:rPr>
              <w:t xml:space="preserve">Modular file </w:t>
            </w:r>
            <w:proofErr w:type="gramStart"/>
            <w:r>
              <w:rPr>
                <w:color w:val="222222"/>
              </w:rPr>
              <w:t>structure  →</w:t>
            </w:r>
            <w:proofErr w:type="gramEnd"/>
            <w:r>
              <w:rPr>
                <w:color w:val="222222"/>
              </w:rPr>
              <w:t xml:space="preserve">  XLGEN: Sheet object tree with module assignments (Description, Inputs, Engine, Results)</w:t>
            </w:r>
          </w:p>
        </w:tc>
      </w:tr>
    </w:tbl>
    <w:p w:rsidR="00CE7F41" w:rsidRDefault="00CE7F41">
      <w:pPr>
        <w:spacing w:before="160"/>
      </w:pPr>
    </w:p>
    <w:p w:rsidR="00CE7F41" w:rsidRDefault="00000000">
      <w:pPr>
        <w:pStyle w:val="Heading2"/>
      </w:pPr>
      <w:proofErr w:type="gramStart"/>
      <w:r>
        <w:t>4.4  Why</w:t>
      </w:r>
      <w:proofErr w:type="gramEnd"/>
      <w:r>
        <w:t xml:space="preserve"> Bounding Box Detection is the Critical First Step</w:t>
      </w:r>
    </w:p>
    <w:p w:rsidR="00CE7F41" w:rsidRDefault="00000000">
      <w:pPr>
        <w:spacing w:before="80" w:after="100"/>
        <w:jc w:val="both"/>
      </w:pPr>
      <w:r>
        <w:rPr>
          <w:color w:val="222222"/>
        </w:rPr>
        <w:t>Before a dependency graph can be built, the system must know where the tables are. This is not a trivial problem. A single sheet in a real HE model may contain five or more logically distinct tables, separated by whitespace, colour banding, or formatting conventions. Standard spreadsheet parsing libraries (openpyxl, xlrd) return a flat cell grid with no concept of table boundaries. Without bounding box detection, any downstream parsing is applied to an unstructured object.</w:t>
      </w:r>
    </w:p>
    <w:p w:rsidR="00CE7F41" w:rsidRDefault="00000000">
      <w:pPr>
        <w:spacing w:before="80" w:after="100"/>
        <w:jc w:val="both"/>
      </w:pPr>
      <w:r>
        <w:rPr>
          <w:color w:val="222222"/>
        </w:rPr>
        <w:t>XLGEN's bounding box pipeline uses three signal types in combination: a binary occupancy grid (which cells are non-empty), formatting features (border presence, cell background colour, bold headers, merged cells, spatial grouping), and visual patches (rendered PNG images of cell regions). The triple-signal approach was necessitated by the failure of single-signal detection: occupancy alone misses tables separated by formatting rather than whitespace; formatting alone misses tables in minimally-formatted models. The visual patch channel provides a confirmation signal that catches failures from both other channels.</w:t>
      </w:r>
    </w:p>
    <w:p w:rsidR="00CE7F41" w:rsidRDefault="00000000">
      <w:pPr>
        <w:spacing w:before="80" w:after="100"/>
        <w:jc w:val="both"/>
      </w:pPr>
      <w:r>
        <w:rPr>
          <w:color w:val="222222"/>
        </w:rPr>
        <w:t>This multi-signal approach mirrors the SpreadsheetLLM finding that structural anchors — formatting-based boundary markers — are the correct basis for spreadsheet representation. The difference is that XLGEN uses these anchors to build a spatial graph of table regions, not to compress a token representation.</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5. The XLGEN Architecture: Four Pillars</w:t>
      </w:r>
    </w:p>
    <w:p w:rsidR="00CE7F41" w:rsidRDefault="00000000">
      <w:pPr>
        <w:spacing w:before="80" w:after="100"/>
        <w:jc w:val="both"/>
      </w:pPr>
      <w:r>
        <w:rPr>
          <w:color w:val="222222"/>
        </w:rPr>
        <w:t>XLGEN is built on four architectural pillars, each representing a distinct layer of intelligence. The pillars are strictly ordered: each depends on the output of the layer below. This ordering is not a design preference — it is a requirement derived from the structural analysis above.</w:t>
      </w:r>
    </w:p>
    <w:p w:rsidR="00CE7F41" w:rsidRDefault="00000000">
      <w:pPr>
        <w:pStyle w:val="Heading2"/>
      </w:pPr>
      <w:r>
        <w:lastRenderedPageBreak/>
        <w:t>Pillar 1 — Structural Extraction (Deterministic)</w:t>
      </w:r>
    </w:p>
    <w:p w:rsidR="00CE7F41" w:rsidRDefault="00000000">
      <w:pPr>
        <w:spacing w:before="80" w:after="100"/>
        <w:jc w:val="both"/>
      </w:pPr>
      <w:r>
        <w:rPr>
          <w:color w:val="222222"/>
        </w:rPr>
        <w:t>The first layer invokes no LLM. It is entirely deterministic. The workbook is parsed via openpyxl, VBA modules are extracted and sanitised, UI noise (embedded images, ActiveX controls, buttons, decorative shapes) is removed, and the raw cell grid is processed through the bounding box pipeline. The output is a set of structured JSON artefacts that constitute the ground truth representation of the workbook's computational structure.</w:t>
      </w:r>
    </w:p>
    <w:p w:rsidR="00CE7F41" w:rsidRDefault="00000000">
      <w:pPr>
        <w:spacing w:before="80" w:after="100"/>
        <w:jc w:val="both"/>
      </w:pPr>
      <w:r>
        <w:rPr>
          <w:color w:val="222222"/>
        </w:rPr>
        <w:t>Key artefacts produced by this layer: bbox_</w:t>
      </w:r>
      <w:proofErr w:type="gramStart"/>
      <w:r>
        <w:rPr>
          <w:color w:val="222222"/>
        </w:rPr>
        <w:t>candidates.json</w:t>
      </w:r>
      <w:proofErr w:type="gramEnd"/>
      <w:r>
        <w:rPr>
          <w:color w:val="222222"/>
        </w:rPr>
        <w:t xml:space="preserve"> (table regions with pixel and cell coordinates), bbox_features.json (formatting feature vectors for each candidate), model_tree.json (the sheet-to-module mapping that identifies which sheets contain Description, Inputs, Engine, and Results modules), dep_graph.json (directed edges from formula cells to their precedents), and formula_ast.json (parsed abstract syntax trees for all formula cells). These artefacts are the substrate on which every subsequent layer operates. If they are wrong, everything downstream is wrong.</w:t>
      </w:r>
    </w:p>
    <w:p w:rsidR="00CE7F41" w:rsidRDefault="00000000">
      <w:pPr>
        <w:pStyle w:val="Heading2"/>
      </w:pPr>
      <w:r>
        <w:t>Pillar 2 — Structural Knowledge Graph</w:t>
      </w:r>
    </w:p>
    <w:p w:rsidR="00CE7F41" w:rsidRDefault="00000000">
      <w:pPr>
        <w:spacing w:before="80" w:after="100"/>
        <w:jc w:val="both"/>
      </w:pPr>
      <w:r>
        <w:rPr>
          <w:color w:val="222222"/>
        </w:rPr>
        <w:t>From the Pillar 1 artefacts, a structural knowledge graph (KG) is constructed. This graph encodes computational relationships, not semantic ones. The node types are: cell (with address, value, formula, type), table (bounding box, header rows, label columns), named range (name, scope, resolved range), sheet (index, name, module assignment), and formula expression (AST node type, operand structure). The edge types are: formula dependency (cell A depends on cell B), sheet membership (cell A belongs to sheet X), table membership (cell A belongs to table T), named range resolution (name N resolves to range R), and module containment (table T belongs to module M).</w:t>
      </w:r>
    </w:p>
    <w:p w:rsidR="00CE7F41" w:rsidRDefault="00000000">
      <w:pPr>
        <w:spacing w:before="80" w:after="100"/>
        <w:jc w:val="both"/>
      </w:pPr>
      <w:r>
        <w:rPr>
          <w:color w:val="222222"/>
        </w:rPr>
        <w:t>The structural KG is the navigation substrate for the agentic layer. When a user asks 'Why does total cost increase in the intervention arm?', the agent traverses this graph from the result cell backward through formula dependencies to the cost input tables, and from there to the parameter that changed. The traversal is deterministic and auditable: every hop in the graph corresponds to a formula dependency that exists in the workbook. The agent cannot hallucinate a dependency; it can only traverse edges that are in the graph.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0"/>
        <w:gridCol w:w="8230"/>
      </w:tblGrid>
      <w:tr w:rsidR="00CE7F41">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2E75B6"/>
            <w:tcMar>
              <w:top w:w="120" w:type="dxa"/>
              <w:left w:w="120" w:type="dxa"/>
              <w:bottom w:w="120" w:type="dxa"/>
              <w:right w:w="80" w:type="dxa"/>
            </w:tcMar>
          </w:tcPr>
          <w:p w:rsidR="00CE7F41" w:rsidRDefault="00000000">
            <w:pPr>
              <w:jc w:val="center"/>
            </w:pPr>
            <w:r>
              <w:rPr>
                <w:b/>
                <w:bCs/>
                <w:color w:val="FFFFFF"/>
                <w:sz w:val="18"/>
                <w:szCs w:val="18"/>
              </w:rPr>
              <w:t>Critical Distinction</w:t>
            </w:r>
          </w:p>
        </w:tc>
        <w:tc>
          <w:tcPr>
            <w:tcW w:w="9000" w:type="dxa"/>
            <w:tcBorders>
              <w:top w:val="none" w:sz="0" w:space="0" w:color="FFFFFF"/>
              <w:left w:val="single" w:sz="8" w:space="0" w:color="2E75B6"/>
              <w:bottom w:val="none" w:sz="0" w:space="0" w:color="FFFFFF"/>
              <w:right w:val="none" w:sz="0" w:space="0" w:color="FFFFFF"/>
            </w:tcBorders>
            <w:shd w:val="clear" w:color="auto" w:fill="D5E8F0"/>
            <w:tcMar>
              <w:top w:w="120" w:type="dxa"/>
              <w:left w:w="200" w:type="dxa"/>
              <w:bottom w:w="120" w:type="dxa"/>
              <w:right w:w="120" w:type="dxa"/>
            </w:tcMar>
          </w:tcPr>
          <w:p w:rsidR="00CE7F41" w:rsidRDefault="00000000">
            <w:pPr>
              <w:jc w:val="both"/>
            </w:pPr>
            <w:r>
              <w:rPr>
                <w:i/>
                <w:iCs/>
                <w:color w:val="222222"/>
              </w:rPr>
              <w:t>The structural KG encodes computation. A semantic ontology encodes meaning. These must be built separately and queried through different mechanisms. Conflating them — as early prototypes did — creates a graph that is fragile to both workbook updates and ontology extensions.</w:t>
            </w:r>
          </w:p>
        </w:tc>
      </w:tr>
    </w:tbl>
    <w:p w:rsidR="00CE7F41" w:rsidRDefault="00CE7F41">
      <w:pPr>
        <w:spacing w:before="80"/>
      </w:pPr>
    </w:p>
    <w:p w:rsidR="00CE7F41" w:rsidRDefault="00000000">
      <w:pPr>
        <w:pStyle w:val="Heading2"/>
      </w:pPr>
      <w:r>
        <w:t>Pillar 3 — HEOR Domain Ontology (The Constitution Layer)</w:t>
      </w:r>
    </w:p>
    <w:p w:rsidR="00CE7F41" w:rsidRDefault="00000000">
      <w:pPr>
        <w:spacing w:before="80" w:after="100"/>
        <w:jc w:val="both"/>
      </w:pPr>
      <w:r>
        <w:rPr>
          <w:color w:val="222222"/>
        </w:rPr>
        <w:t>The HEOR domain ontology is a validation layer, not an information retrieval layer. This distinction is fundamental and was the most important conceptual clarification in XLGEN's development. The ontology does not tell the system what things mean. It tells the system what must be true about a valid HEOR model, and rejects LLM outputs that violate those constraints.</w:t>
      </w:r>
    </w:p>
    <w:p w:rsidR="00CE7F41" w:rsidRDefault="00000000">
      <w:pPr>
        <w:spacing w:before="80" w:after="100"/>
        <w:jc w:val="both"/>
      </w:pPr>
      <w:r>
        <w:rPr>
          <w:color w:val="222222"/>
        </w:rPr>
        <w:t>The HEOR constitution encodes structural invariants derived from NICE, CADTH, and PBAC methodological guidance. Representative rules: every comparator identified in cost input tables must appear in outcome input tables with the same identifier; the ICER output cell must be derivable, through the dependency graph, from an incremental cost node and an incremental effect node; discount rates must be applied consistently across cost and outcome streams (same rate value referenced in both); time horizons must be consistent across engine modules. These are not soft heuristics. They are structural requirements of cost-effectiveness analysis. Violation of any of them indicates either a model error or an AI reasoning error, and both must be caught.</w:t>
      </w:r>
    </w:p>
    <w:p w:rsidR="00CE7F41" w:rsidRDefault="00000000">
      <w:pPr>
        <w:spacing w:before="80" w:after="100"/>
        <w:jc w:val="both"/>
      </w:pPr>
      <w:r>
        <w:rPr>
          <w:color w:val="222222"/>
        </w:rPr>
        <w:lastRenderedPageBreak/>
        <w:t>The ontology is intentionally minimal. XLGEN encodes HEOR structural invariants, not a full biomedical knowledge base. Overspecification creates brittleness: an ontology that attempts to encode drug classes, mechanisms of action, and indication hierarchies will be wrong for a substantial fraction of models and will generate spurious validation failures. The minimal ontology encodes what is always true about a valid cost-utility model. Everything else is left to the agentic reasoning layer.</w:t>
      </w:r>
    </w:p>
    <w:p w:rsidR="00CE7F41" w:rsidRDefault="00000000">
      <w:pPr>
        <w:pStyle w:val="Heading2"/>
      </w:pPr>
      <w:r>
        <w:t>Pillar 4 — Agentic Graph Reasoning</w:t>
      </w:r>
    </w:p>
    <w:p w:rsidR="00CE7F41" w:rsidRDefault="00000000">
      <w:pPr>
        <w:spacing w:before="80" w:after="100"/>
        <w:jc w:val="both"/>
      </w:pPr>
      <w:r>
        <w:rPr>
          <w:color w:val="222222"/>
        </w:rPr>
        <w:t xml:space="preserve">The agentic layer activates only after the structural KG and domain ontology are in place. It operates as a Planner-Executor-Validator loop, directly inheriting the design principles established by ReAct and refined by SWE-agent. Given a user query, the agent: (1) parses intent and identifies the relevant model module; (2) invokes structured tools to traverse the KG; (3) inspects formula chains along relevant dependency paths; (4) validates candidate answers against ontology rules; (5) iterates if validation fails; and (6) produces a response with cell-level citations of the form </w:t>
      </w:r>
      <w:proofErr w:type="gramStart"/>
      <w:r>
        <w:rPr>
          <w:color w:val="222222"/>
        </w:rPr>
        <w:t>Sheet!CellAddress</w:t>
      </w:r>
      <w:proofErr w:type="gramEnd"/>
      <w:r>
        <w:rPr>
          <w:color w:val="222222"/>
        </w:rPr>
        <w:t>.</w:t>
      </w:r>
    </w:p>
    <w:p w:rsidR="00CE7F41" w:rsidRDefault="00000000">
      <w:pPr>
        <w:spacing w:before="80" w:after="100"/>
        <w:jc w:val="both"/>
      </w:pPr>
      <w:r>
        <w:rPr>
          <w:color w:val="222222"/>
        </w:rPr>
        <w:t xml:space="preserve">The tool registry is the ACI layer of XLGEN, designed according to the SWE-agent principle that tool design is a first-class concern. Tools are organised into namespaces corresponding to the structural layers: bbox.get (retrieve table region), </w:t>
      </w:r>
      <w:proofErr w:type="gramStart"/>
      <w:r>
        <w:rPr>
          <w:color w:val="222222"/>
        </w:rPr>
        <w:t>formula.trace</w:t>
      </w:r>
      <w:proofErr w:type="gramEnd"/>
      <w:r>
        <w:rPr>
          <w:color w:val="222222"/>
        </w:rPr>
        <w:t xml:space="preserve"> (traverse formula dependencies), table.inspect (read table contents with type information), dep_graph.neighbors (get precedents/dependents of a cell), sheet.profile (get sheet metadata and module assignment), ontology.lookup (query constitution rules for a model type), qc.validate (run validation checks on a candidate answer). Each tool returns a structured JSON contract. The agent never operates on free text from the workbook directly.</w:t>
      </w:r>
    </w:p>
    <w:p w:rsidR="00CE7F41" w:rsidRDefault="00000000">
      <w:pPr>
        <w:spacing w:before="80" w:after="100"/>
        <w:jc w:val="both"/>
      </w:pPr>
      <w:r>
        <w:rPr>
          <w:color w:val="222222"/>
        </w:rPr>
        <w:t>External evidence retrieval — PubMed queries, HTA document analysis — is explicitly not part of the agentic core. It is a separate, optional layer invoked only when internal structural reasoning cannot answer the query. This separation is necessary both for architectural clarity and for reliability: external retrieval can introduce uncertainty that contaminates structural reasoning if not properly isolated.</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6. Architecture Summary: The Three-Layer Conceptual Model</w:t>
      </w:r>
    </w:p>
    <w:p w:rsidR="00CE7F41" w:rsidRDefault="00000000">
      <w:pPr>
        <w:spacing w:before="80" w:after="100"/>
        <w:jc w:val="both"/>
      </w:pPr>
      <w:r>
        <w:rPr>
          <w:color w:val="222222"/>
        </w:rPr>
        <w:t>The following table maps XLGEN's three conceptual layers to their mechanisms and output artefacts:</w:t>
      </w:r>
    </w:p>
    <w:p w:rsidR="00CE7F41" w:rsidRDefault="00CE7F4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900"/>
        <w:gridCol w:w="2980"/>
        <w:gridCol w:w="2780"/>
      </w:tblGrid>
      <w:tr w:rsidR="00CE7F41">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2E75B6"/>
            <w:tcMar>
              <w:top w:w="70" w:type="dxa"/>
              <w:left w:w="100" w:type="dxa"/>
              <w:bottom w:w="70" w:type="dxa"/>
              <w:right w:w="100" w:type="dxa"/>
            </w:tcMar>
          </w:tcPr>
          <w:p w:rsidR="00CE7F41" w:rsidRDefault="00000000">
            <w:r>
              <w:rPr>
                <w:b/>
                <w:bCs/>
                <w:color w:val="FFFFFF"/>
                <w:sz w:val="19"/>
                <w:szCs w:val="19"/>
              </w:rPr>
              <w:t>Layer</w:t>
            </w:r>
          </w:p>
        </w:tc>
        <w:tc>
          <w:tcPr>
            <w:tcW w:w="1900" w:type="dxa"/>
            <w:tcBorders>
              <w:top w:val="single" w:sz="1" w:space="0" w:color="CCCCCC"/>
              <w:left w:val="single" w:sz="1" w:space="0" w:color="CCCCCC"/>
              <w:bottom w:val="single" w:sz="1" w:space="0" w:color="CCCCCC"/>
              <w:right w:val="single" w:sz="1" w:space="0" w:color="CCCCCC"/>
            </w:tcBorders>
            <w:shd w:val="clear" w:color="auto" w:fill="2E75B6"/>
            <w:tcMar>
              <w:top w:w="70" w:type="dxa"/>
              <w:left w:w="100" w:type="dxa"/>
              <w:bottom w:w="70" w:type="dxa"/>
              <w:right w:w="100" w:type="dxa"/>
            </w:tcMar>
          </w:tcPr>
          <w:p w:rsidR="00CE7F41" w:rsidRDefault="00000000">
            <w:r>
              <w:rPr>
                <w:b/>
                <w:bCs/>
                <w:color w:val="FFFFFF"/>
                <w:sz w:val="19"/>
                <w:szCs w:val="19"/>
              </w:rPr>
              <w:t>Name</w:t>
            </w:r>
          </w:p>
        </w:tc>
        <w:tc>
          <w:tcPr>
            <w:tcW w:w="2980" w:type="dxa"/>
            <w:tcBorders>
              <w:top w:val="single" w:sz="1" w:space="0" w:color="CCCCCC"/>
              <w:left w:val="single" w:sz="1" w:space="0" w:color="CCCCCC"/>
              <w:bottom w:val="single" w:sz="1" w:space="0" w:color="CCCCCC"/>
              <w:right w:val="single" w:sz="1" w:space="0" w:color="CCCCCC"/>
            </w:tcBorders>
            <w:shd w:val="clear" w:color="auto" w:fill="2E75B6"/>
            <w:tcMar>
              <w:top w:w="70" w:type="dxa"/>
              <w:left w:w="100" w:type="dxa"/>
              <w:bottom w:w="70" w:type="dxa"/>
              <w:right w:w="100" w:type="dxa"/>
            </w:tcMar>
          </w:tcPr>
          <w:p w:rsidR="00CE7F41" w:rsidRDefault="00000000">
            <w:r>
              <w:rPr>
                <w:b/>
                <w:bCs/>
                <w:color w:val="FFFFFF"/>
                <w:sz w:val="19"/>
                <w:szCs w:val="19"/>
              </w:rPr>
              <w:t>Mechanism</w:t>
            </w:r>
          </w:p>
        </w:tc>
        <w:tc>
          <w:tcPr>
            <w:tcW w:w="2780" w:type="dxa"/>
            <w:tcBorders>
              <w:top w:val="single" w:sz="1" w:space="0" w:color="CCCCCC"/>
              <w:left w:val="single" w:sz="1" w:space="0" w:color="CCCCCC"/>
              <w:bottom w:val="single" w:sz="1" w:space="0" w:color="CCCCCC"/>
              <w:right w:val="single" w:sz="1" w:space="0" w:color="CCCCCC"/>
            </w:tcBorders>
            <w:shd w:val="clear" w:color="auto" w:fill="2E75B6"/>
            <w:tcMar>
              <w:top w:w="70" w:type="dxa"/>
              <w:left w:w="100" w:type="dxa"/>
              <w:bottom w:w="70" w:type="dxa"/>
              <w:right w:w="100" w:type="dxa"/>
            </w:tcMar>
          </w:tcPr>
          <w:p w:rsidR="00CE7F41" w:rsidRDefault="00000000">
            <w:r>
              <w:rPr>
                <w:b/>
                <w:bCs/>
                <w:color w:val="FFFFFF"/>
                <w:sz w:val="19"/>
                <w:szCs w:val="19"/>
              </w:rPr>
              <w:t>Output Artefacts</w:t>
            </w:r>
          </w:p>
        </w:tc>
      </w:tr>
      <w:tr w:rsidR="00CE7F41">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0F4FF"/>
            <w:tcMar>
              <w:top w:w="70" w:type="dxa"/>
              <w:left w:w="100" w:type="dxa"/>
              <w:bottom w:w="70" w:type="dxa"/>
              <w:right w:w="100" w:type="dxa"/>
            </w:tcMar>
          </w:tcPr>
          <w:p w:rsidR="00CE7F41" w:rsidRDefault="00000000">
            <w:r>
              <w:rPr>
                <w:color w:val="222222"/>
                <w:sz w:val="19"/>
                <w:szCs w:val="19"/>
              </w:rPr>
              <w:t>1 — Structural Ingestion</w:t>
            </w:r>
          </w:p>
        </w:tc>
        <w:tc>
          <w:tcPr>
            <w:tcW w:w="1900" w:type="dxa"/>
            <w:tcBorders>
              <w:top w:val="single" w:sz="1" w:space="0" w:color="CCCCCC"/>
              <w:left w:val="single" w:sz="1" w:space="0" w:color="CCCCCC"/>
              <w:bottom w:val="single" w:sz="1" w:space="0" w:color="CCCCCC"/>
              <w:right w:val="single" w:sz="1" w:space="0" w:color="CCCCCC"/>
            </w:tcBorders>
            <w:shd w:val="clear" w:color="auto" w:fill="F0F4FF"/>
            <w:tcMar>
              <w:top w:w="70" w:type="dxa"/>
              <w:left w:w="100" w:type="dxa"/>
              <w:bottom w:w="70" w:type="dxa"/>
              <w:right w:w="100" w:type="dxa"/>
            </w:tcMar>
          </w:tcPr>
          <w:p w:rsidR="00CE7F41" w:rsidRDefault="00000000">
            <w:r>
              <w:rPr>
                <w:color w:val="222222"/>
                <w:sz w:val="19"/>
                <w:szCs w:val="19"/>
              </w:rPr>
              <w:t>BBox + Dependency Graph</w:t>
            </w:r>
          </w:p>
        </w:tc>
        <w:tc>
          <w:tcPr>
            <w:tcW w:w="2980" w:type="dxa"/>
            <w:tcBorders>
              <w:top w:val="single" w:sz="1" w:space="0" w:color="CCCCCC"/>
              <w:left w:val="single" w:sz="1" w:space="0" w:color="CCCCCC"/>
              <w:bottom w:val="single" w:sz="1" w:space="0" w:color="CCCCCC"/>
              <w:right w:val="single" w:sz="1" w:space="0" w:color="CCCCCC"/>
            </w:tcBorders>
            <w:shd w:val="clear" w:color="auto" w:fill="F0F4FF"/>
            <w:tcMar>
              <w:top w:w="70" w:type="dxa"/>
              <w:left w:w="100" w:type="dxa"/>
              <w:bottom w:w="70" w:type="dxa"/>
              <w:right w:w="100" w:type="dxa"/>
            </w:tcMar>
          </w:tcPr>
          <w:p w:rsidR="00CE7F41" w:rsidRDefault="00000000">
            <w:r>
              <w:rPr>
                <w:color w:val="222222"/>
                <w:sz w:val="19"/>
                <w:szCs w:val="19"/>
              </w:rPr>
              <w:t>Deterministic parsing: occupancy grid, formatting features, formula AST, named range resolution, VBA cleaning</w:t>
            </w:r>
          </w:p>
        </w:tc>
        <w:tc>
          <w:tcPr>
            <w:tcW w:w="2780" w:type="dxa"/>
            <w:tcBorders>
              <w:top w:val="single" w:sz="1" w:space="0" w:color="CCCCCC"/>
              <w:left w:val="single" w:sz="1" w:space="0" w:color="CCCCCC"/>
              <w:bottom w:val="single" w:sz="1" w:space="0" w:color="CCCCCC"/>
              <w:right w:val="single" w:sz="1" w:space="0" w:color="CCCCCC"/>
            </w:tcBorders>
            <w:shd w:val="clear" w:color="auto" w:fill="F0F4FF"/>
            <w:tcMar>
              <w:top w:w="70" w:type="dxa"/>
              <w:left w:w="100" w:type="dxa"/>
              <w:bottom w:w="70" w:type="dxa"/>
              <w:right w:w="100" w:type="dxa"/>
            </w:tcMar>
          </w:tcPr>
          <w:p w:rsidR="00CE7F41" w:rsidRDefault="00000000">
            <w:r>
              <w:rPr>
                <w:color w:val="222222"/>
                <w:sz w:val="19"/>
                <w:szCs w:val="19"/>
              </w:rPr>
              <w:t>model_</w:t>
            </w:r>
            <w:proofErr w:type="gramStart"/>
            <w:r>
              <w:rPr>
                <w:color w:val="222222"/>
                <w:sz w:val="19"/>
                <w:szCs w:val="19"/>
              </w:rPr>
              <w:t>tree.json</w:t>
            </w:r>
            <w:proofErr w:type="gramEnd"/>
            <w:r>
              <w:rPr>
                <w:color w:val="222222"/>
                <w:sz w:val="19"/>
                <w:szCs w:val="19"/>
              </w:rPr>
              <w:t>, dep_graph.json, bbox_candidates.json, bbox_images/</w:t>
            </w:r>
          </w:p>
        </w:tc>
      </w:tr>
      <w:tr w:rsidR="00CE7F41">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2 — Domain Constitution</w:t>
            </w:r>
          </w:p>
        </w:tc>
        <w:tc>
          <w:tcPr>
            <w:tcW w:w="19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HEOR Ontology Grounding</w:t>
            </w:r>
          </w:p>
        </w:tc>
        <w:tc>
          <w:tcPr>
            <w:tcW w:w="29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Rule injection: comparator constraints, cost/outcome pairing, ICER derivation logic, discount rate consistency</w:t>
            </w:r>
          </w:p>
        </w:tc>
        <w:tc>
          <w:tcPr>
            <w:tcW w:w="27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ontology_</w:t>
            </w:r>
            <w:proofErr w:type="gramStart"/>
            <w:r>
              <w:rPr>
                <w:color w:val="222222"/>
                <w:sz w:val="19"/>
                <w:szCs w:val="19"/>
              </w:rPr>
              <w:t>map.json</w:t>
            </w:r>
            <w:proofErr w:type="gramEnd"/>
            <w:r>
              <w:rPr>
                <w:color w:val="222222"/>
                <w:sz w:val="19"/>
                <w:szCs w:val="19"/>
              </w:rPr>
              <w:t>, qc_report.json, constitution_violations.json</w:t>
            </w:r>
          </w:p>
        </w:tc>
      </w:tr>
      <w:tr w:rsidR="00CE7F41">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0FFF4"/>
            <w:tcMar>
              <w:top w:w="70" w:type="dxa"/>
              <w:left w:w="100" w:type="dxa"/>
              <w:bottom w:w="70" w:type="dxa"/>
              <w:right w:w="100" w:type="dxa"/>
            </w:tcMar>
          </w:tcPr>
          <w:p w:rsidR="00CE7F41" w:rsidRDefault="00000000">
            <w:r>
              <w:rPr>
                <w:color w:val="222222"/>
                <w:sz w:val="19"/>
                <w:szCs w:val="19"/>
              </w:rPr>
              <w:t>3 — Agentic Validation</w:t>
            </w:r>
          </w:p>
        </w:tc>
        <w:tc>
          <w:tcPr>
            <w:tcW w:w="1900" w:type="dxa"/>
            <w:tcBorders>
              <w:top w:val="single" w:sz="1" w:space="0" w:color="CCCCCC"/>
              <w:left w:val="single" w:sz="1" w:space="0" w:color="CCCCCC"/>
              <w:bottom w:val="single" w:sz="1" w:space="0" w:color="CCCCCC"/>
              <w:right w:val="single" w:sz="1" w:space="0" w:color="CCCCCC"/>
            </w:tcBorders>
            <w:shd w:val="clear" w:color="auto" w:fill="F0FFF4"/>
            <w:tcMar>
              <w:top w:w="70" w:type="dxa"/>
              <w:left w:w="100" w:type="dxa"/>
              <w:bottom w:w="70" w:type="dxa"/>
              <w:right w:w="100" w:type="dxa"/>
            </w:tcMar>
          </w:tcPr>
          <w:p w:rsidR="00CE7F41" w:rsidRDefault="00000000">
            <w:r>
              <w:rPr>
                <w:color w:val="222222"/>
                <w:sz w:val="19"/>
                <w:szCs w:val="19"/>
              </w:rPr>
              <w:t>Plan–Execute–Validate Loop</w:t>
            </w:r>
          </w:p>
        </w:tc>
        <w:tc>
          <w:tcPr>
            <w:tcW w:w="2980" w:type="dxa"/>
            <w:tcBorders>
              <w:top w:val="single" w:sz="1" w:space="0" w:color="CCCCCC"/>
              <w:left w:val="single" w:sz="1" w:space="0" w:color="CCCCCC"/>
              <w:bottom w:val="single" w:sz="1" w:space="0" w:color="CCCCCC"/>
              <w:right w:val="single" w:sz="1" w:space="0" w:color="CCCCCC"/>
            </w:tcBorders>
            <w:shd w:val="clear" w:color="auto" w:fill="F0FFF4"/>
            <w:tcMar>
              <w:top w:w="70" w:type="dxa"/>
              <w:left w:w="100" w:type="dxa"/>
              <w:bottom w:w="70" w:type="dxa"/>
              <w:right w:w="100" w:type="dxa"/>
            </w:tcMar>
          </w:tcPr>
          <w:p w:rsidR="00CE7F41" w:rsidRDefault="00000000">
            <w:r>
              <w:rPr>
                <w:color w:val="222222"/>
                <w:sz w:val="19"/>
                <w:szCs w:val="19"/>
              </w:rPr>
              <w:t>Tool-based graph traversal; formula inspection; rule-gated answer synthesis; cell-level citation generation</w:t>
            </w:r>
          </w:p>
        </w:tc>
        <w:tc>
          <w:tcPr>
            <w:tcW w:w="2780" w:type="dxa"/>
            <w:tcBorders>
              <w:top w:val="single" w:sz="1" w:space="0" w:color="CCCCCC"/>
              <w:left w:val="single" w:sz="1" w:space="0" w:color="CCCCCC"/>
              <w:bottom w:val="single" w:sz="1" w:space="0" w:color="CCCCCC"/>
              <w:right w:val="single" w:sz="1" w:space="0" w:color="CCCCCC"/>
            </w:tcBorders>
            <w:shd w:val="clear" w:color="auto" w:fill="F0FFF4"/>
            <w:tcMar>
              <w:top w:w="70" w:type="dxa"/>
              <w:left w:w="100" w:type="dxa"/>
              <w:bottom w:w="70" w:type="dxa"/>
              <w:right w:w="100" w:type="dxa"/>
            </w:tcMar>
          </w:tcPr>
          <w:p w:rsidR="00CE7F41" w:rsidRDefault="00000000">
            <w:r>
              <w:rPr>
                <w:color w:val="222222"/>
                <w:sz w:val="19"/>
                <w:szCs w:val="19"/>
              </w:rPr>
              <w:t>run_</w:t>
            </w:r>
            <w:proofErr w:type="gramStart"/>
            <w:r>
              <w:rPr>
                <w:color w:val="222222"/>
                <w:sz w:val="19"/>
                <w:szCs w:val="19"/>
              </w:rPr>
              <w:t>report.json</w:t>
            </w:r>
            <w:proofErr w:type="gramEnd"/>
            <w:r>
              <w:rPr>
                <w:color w:val="222222"/>
                <w:sz w:val="19"/>
                <w:szCs w:val="19"/>
              </w:rPr>
              <w:t>, patch_diff.json, answer + Sheet!Cell citations</w:t>
            </w:r>
          </w:p>
        </w:tc>
      </w:tr>
    </w:tbl>
    <w:p w:rsidR="00CE7F41" w:rsidRDefault="00CE7F41">
      <w:pPr>
        <w:spacing w:before="160"/>
      </w:pPr>
    </w:p>
    <w:p w:rsidR="00CE7F41" w:rsidRDefault="00000000">
      <w:pPr>
        <w:pStyle w:val="Heading1"/>
      </w:pPr>
      <w:r>
        <w:lastRenderedPageBreak/>
        <w:t>7. The Field in Context: A Research Timeline</w:t>
      </w:r>
    </w:p>
    <w:p w:rsidR="00CE7F41" w:rsidRDefault="00000000">
      <w:pPr>
        <w:spacing w:before="80" w:after="100"/>
        <w:jc w:val="both"/>
      </w:pPr>
      <w:r>
        <w:rPr>
          <w:color w:val="222222"/>
        </w:rPr>
        <w:t>The following timeline situates XLGEN within the broader evolution of agentic AI and spreadsheet intelligence research:</w:t>
      </w:r>
    </w:p>
    <w:p w:rsidR="00CE7F41" w:rsidRDefault="00CE7F4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2"/>
        <w:gridCol w:w="1837"/>
        <w:gridCol w:w="6451"/>
      </w:tblGrid>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1B3A6B"/>
            <w:tcMar>
              <w:top w:w="70" w:type="dxa"/>
              <w:left w:w="100" w:type="dxa"/>
              <w:bottom w:w="70" w:type="dxa"/>
              <w:right w:w="100" w:type="dxa"/>
            </w:tcMar>
          </w:tcPr>
          <w:p w:rsidR="00CE7F41" w:rsidRDefault="00000000">
            <w:r>
              <w:rPr>
                <w:b/>
                <w:bCs/>
                <w:color w:val="FFFFFF"/>
                <w:sz w:val="19"/>
                <w:szCs w:val="19"/>
              </w:rPr>
              <w:t>Date</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70" w:type="dxa"/>
              <w:left w:w="100" w:type="dxa"/>
              <w:bottom w:w="70" w:type="dxa"/>
              <w:right w:w="100" w:type="dxa"/>
            </w:tcMar>
          </w:tcPr>
          <w:p w:rsidR="00CE7F41" w:rsidRDefault="00000000">
            <w:r>
              <w:rPr>
                <w:b/>
                <w:bCs/>
                <w:color w:val="FFFFFF"/>
                <w:sz w:val="19"/>
                <w:szCs w:val="19"/>
              </w:rPr>
              <w:t>Milestone</w:t>
            </w:r>
          </w:p>
        </w:tc>
        <w:tc>
          <w:tcPr>
            <w:tcW w:w="6860" w:type="dxa"/>
            <w:tcBorders>
              <w:top w:val="single" w:sz="1" w:space="0" w:color="CCCCCC"/>
              <w:left w:val="single" w:sz="1" w:space="0" w:color="CCCCCC"/>
              <w:bottom w:val="single" w:sz="1" w:space="0" w:color="CCCCCC"/>
              <w:right w:val="single" w:sz="1" w:space="0" w:color="CCCCCC"/>
            </w:tcBorders>
            <w:shd w:val="clear" w:color="auto" w:fill="1B3A6B"/>
            <w:tcMar>
              <w:top w:w="70" w:type="dxa"/>
              <w:left w:w="100" w:type="dxa"/>
              <w:bottom w:w="70" w:type="dxa"/>
              <w:right w:w="100" w:type="dxa"/>
            </w:tcMar>
          </w:tcPr>
          <w:p w:rsidR="00CE7F41" w:rsidRDefault="00000000">
            <w:r>
              <w:rPr>
                <w:b/>
                <w:bCs/>
                <w:color w:val="FFFFFF"/>
                <w:sz w:val="19"/>
                <w:szCs w:val="19"/>
              </w:rPr>
              <w:t>Significance</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Oct 2022</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b/>
                <w:bCs/>
                <w:color w:val="222222"/>
                <w:sz w:val="19"/>
                <w:szCs w:val="19"/>
              </w:rPr>
              <w:t>ReAct (Yao et al., ICLR 2023)</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First framework interleaving reasoning traces with tool actions; founds the Thought–Action–Observation loop</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2023</w:t>
            </w:r>
          </w:p>
        </w:tc>
        <w:tc>
          <w:tcPr>
            <w:tcW w:w="14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b/>
                <w:bCs/>
                <w:color w:val="222222"/>
                <w:sz w:val="19"/>
                <w:szCs w:val="19"/>
              </w:rPr>
              <w:t>SWE-bench (Jimenez et al., ICLR 2024)</w:t>
            </w:r>
          </w:p>
        </w:tc>
        <w:tc>
          <w:tcPr>
            <w:tcW w:w="686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Real-world GitHub issue benchmark; shifts evaluation from code completion to structural repository reasoning</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Mar 2024</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b/>
                <w:bCs/>
                <w:color w:val="222222"/>
                <w:sz w:val="19"/>
                <w:szCs w:val="19"/>
              </w:rPr>
              <w:t>Devin (Cognition AI)</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First commercial AI software engineer; achieves 13.86% SWE-bench resolution; demonstrates end-to-end agent viability</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Mar 2024</w:t>
            </w:r>
          </w:p>
        </w:tc>
        <w:tc>
          <w:tcPr>
            <w:tcW w:w="14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b/>
                <w:bCs/>
                <w:color w:val="222222"/>
                <w:sz w:val="19"/>
                <w:szCs w:val="19"/>
              </w:rPr>
              <w:t>SheetAgent (Chen et al., WWW 2025)</w:t>
            </w:r>
          </w:p>
        </w:tc>
        <w:tc>
          <w:tcPr>
            <w:tcW w:w="686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Planner-Informer-Retriever architecture for spreadsheet manipulation; 20–40% pass-rate gains over baselines</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May 2024</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b/>
                <w:bCs/>
                <w:color w:val="222222"/>
                <w:sz w:val="19"/>
                <w:szCs w:val="19"/>
              </w:rPr>
              <w:t>SWE-agent (Yang et al., NeurIPS 2024)</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Agent-Computer Interface (ACI) design; 12.5% pass@1 on SWE-bench; establishes ACI as critical design layer</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Jul 2024</w:t>
            </w:r>
          </w:p>
        </w:tc>
        <w:tc>
          <w:tcPr>
            <w:tcW w:w="14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b/>
                <w:bCs/>
                <w:color w:val="222222"/>
                <w:sz w:val="19"/>
                <w:szCs w:val="19"/>
              </w:rPr>
              <w:t>Agentless (Xia et al., FSE 2025)</w:t>
            </w:r>
          </w:p>
        </w:tc>
        <w:tc>
          <w:tcPr>
            <w:tcW w:w="686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Localize-repair-validate pipeline without agent loop; 32% on SWE-bench Lite at $0.70; questions complexity of agentic scaffolds</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Jul 2024</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b/>
                <w:bCs/>
                <w:color w:val="222222"/>
                <w:sz w:val="19"/>
                <w:szCs w:val="19"/>
              </w:rPr>
              <w:t>SpreadsheetLLM / SheetCompressor (Dong et al., EMNLP 2024)</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Microsoft; structural-anchor encoding; 96% token reduction; 78.9% F1 on table detection; key step toward structure-aware spreadsheet AI</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Nov 2024</w:t>
            </w:r>
          </w:p>
        </w:tc>
        <w:tc>
          <w:tcPr>
            <w:tcW w:w="14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b/>
                <w:bCs/>
                <w:color w:val="222222"/>
                <w:sz w:val="19"/>
                <w:szCs w:val="19"/>
              </w:rPr>
              <w:t>Live-SWE-agent (Xia et al., 2025)</w:t>
            </w:r>
          </w:p>
        </w:tc>
        <w:tc>
          <w:tcPr>
            <w:tcW w:w="686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Self-evolving agent scaffold; 77.4% SWE-bench Verified without test-time scaling; tools created on the fly</w:t>
            </w:r>
          </w:p>
        </w:tc>
      </w:tr>
      <w:tr w:rsidR="00CE7F41">
        <w:tblPrEx>
          <w:tblCellMar>
            <w:top w:w="0" w:type="dxa"/>
            <w:bottom w:w="0" w:type="dxa"/>
          </w:tblCellMar>
        </w:tblPrEx>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2024–25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b/>
                <w:bCs/>
                <w:color w:val="222222"/>
                <w:sz w:val="19"/>
                <w:szCs w:val="19"/>
              </w:rPr>
              <w:t>XLGEN (Benady Consulting)</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Structure-first AI for HEOR Excel models; four-pillar architecture: structural extraction, KG, HEOR ontology, agentic reasoning</w:t>
            </w:r>
          </w:p>
        </w:tc>
      </w:tr>
    </w:tbl>
    <w:p w:rsidR="00CE7F41" w:rsidRDefault="00CE7F41">
      <w:pPr>
        <w:spacing w:before="160"/>
      </w:pPr>
    </w:p>
    <w:p w:rsidR="00CE7F41" w:rsidRDefault="00000000">
      <w:pPr>
        <w:pStyle w:val="Heading1"/>
      </w:pPr>
      <w:r>
        <w:t>8. Comparative Architectural Analysis</w:t>
      </w:r>
    </w:p>
    <w:p w:rsidR="00CE7F41" w:rsidRDefault="00000000">
      <w:pPr>
        <w:spacing w:before="80" w:after="100"/>
        <w:jc w:val="both"/>
      </w:pPr>
      <w:r>
        <w:rPr>
          <w:color w:val="222222"/>
        </w:rPr>
        <w:t>We compare XLGEN's architectural design against the two most relevant prior systems: SpreadsheetLLM (the leading encoding-based approach from Microsoft Research) and SheetAgent (the leading agentic approach from the academic literature). The comparison is architectural, not empirical, assessing capability design rather than benchmark scores.</w:t>
      </w:r>
    </w:p>
    <w:p w:rsidR="00CE7F41" w:rsidRDefault="00CE7F4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100"/>
        <w:gridCol w:w="2280"/>
        <w:gridCol w:w="2780"/>
      </w:tblGrid>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B3A6B"/>
            <w:tcMar>
              <w:top w:w="70" w:type="dxa"/>
              <w:left w:w="100" w:type="dxa"/>
              <w:bottom w:w="70" w:type="dxa"/>
              <w:right w:w="100" w:type="dxa"/>
            </w:tcMar>
          </w:tcPr>
          <w:p w:rsidR="00CE7F41" w:rsidRDefault="00000000">
            <w:r>
              <w:rPr>
                <w:b/>
                <w:bCs/>
                <w:color w:val="FFFFFF"/>
                <w:sz w:val="19"/>
                <w:szCs w:val="19"/>
              </w:rPr>
              <w:t>Capability</w:t>
            </w:r>
          </w:p>
        </w:tc>
        <w:tc>
          <w:tcPr>
            <w:tcW w:w="2100" w:type="dxa"/>
            <w:tcBorders>
              <w:top w:val="single" w:sz="1" w:space="0" w:color="CCCCCC"/>
              <w:left w:val="single" w:sz="1" w:space="0" w:color="CCCCCC"/>
              <w:bottom w:val="single" w:sz="1" w:space="0" w:color="CCCCCC"/>
              <w:right w:val="single" w:sz="1" w:space="0" w:color="CCCCCC"/>
            </w:tcBorders>
            <w:shd w:val="clear" w:color="auto" w:fill="1B3A6B"/>
            <w:tcMar>
              <w:top w:w="70" w:type="dxa"/>
              <w:left w:w="100" w:type="dxa"/>
              <w:bottom w:w="70" w:type="dxa"/>
              <w:right w:w="100" w:type="dxa"/>
            </w:tcMar>
          </w:tcPr>
          <w:p w:rsidR="00CE7F41" w:rsidRDefault="00000000">
            <w:r>
              <w:rPr>
                <w:b/>
                <w:bCs/>
                <w:color w:val="FFFFFF"/>
                <w:sz w:val="19"/>
                <w:szCs w:val="19"/>
              </w:rPr>
              <w:t>SpreadsheetLLM</w:t>
            </w:r>
          </w:p>
        </w:tc>
        <w:tc>
          <w:tcPr>
            <w:tcW w:w="2280" w:type="dxa"/>
            <w:tcBorders>
              <w:top w:val="single" w:sz="1" w:space="0" w:color="CCCCCC"/>
              <w:left w:val="single" w:sz="1" w:space="0" w:color="CCCCCC"/>
              <w:bottom w:val="single" w:sz="1" w:space="0" w:color="CCCCCC"/>
              <w:right w:val="single" w:sz="1" w:space="0" w:color="CCCCCC"/>
            </w:tcBorders>
            <w:shd w:val="clear" w:color="auto" w:fill="1B3A6B"/>
            <w:tcMar>
              <w:top w:w="70" w:type="dxa"/>
              <w:left w:w="100" w:type="dxa"/>
              <w:bottom w:w="70" w:type="dxa"/>
              <w:right w:w="100" w:type="dxa"/>
            </w:tcMar>
          </w:tcPr>
          <w:p w:rsidR="00CE7F41" w:rsidRDefault="00000000">
            <w:r>
              <w:rPr>
                <w:b/>
                <w:bCs/>
                <w:color w:val="FFFFFF"/>
                <w:sz w:val="19"/>
                <w:szCs w:val="19"/>
              </w:rPr>
              <w:t>SheetAgent</w:t>
            </w:r>
          </w:p>
        </w:tc>
        <w:tc>
          <w:tcPr>
            <w:tcW w:w="2780" w:type="dxa"/>
            <w:tcBorders>
              <w:top w:val="single" w:sz="1" w:space="0" w:color="CCCCCC"/>
              <w:left w:val="single" w:sz="1" w:space="0" w:color="CCCCCC"/>
              <w:bottom w:val="single" w:sz="1" w:space="0" w:color="CCCCCC"/>
              <w:right w:val="single" w:sz="1" w:space="0" w:color="CCCCCC"/>
            </w:tcBorders>
            <w:shd w:val="clear" w:color="auto" w:fill="1B3A6B"/>
            <w:tcMar>
              <w:top w:w="70" w:type="dxa"/>
              <w:left w:w="100" w:type="dxa"/>
              <w:bottom w:w="70" w:type="dxa"/>
              <w:right w:w="100" w:type="dxa"/>
            </w:tcMar>
          </w:tcPr>
          <w:p w:rsidR="00CE7F41" w:rsidRDefault="00000000">
            <w:r>
              <w:rPr>
                <w:b/>
                <w:bCs/>
                <w:color w:val="FFFFFF"/>
                <w:sz w:val="19"/>
                <w:szCs w:val="19"/>
              </w:rPr>
              <w:t>XLGEN</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Structural parsing</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Compression only</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Layout-level</w:t>
            </w:r>
          </w:p>
        </w:tc>
        <w:tc>
          <w:tcPr>
            <w:tcW w:w="27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BBox + AST + dep graph</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Formula tracing</w:t>
            </w:r>
          </w:p>
        </w:tc>
        <w:tc>
          <w:tcPr>
            <w:tcW w:w="2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None</w:t>
            </w:r>
          </w:p>
        </w:tc>
        <w:tc>
          <w:tcPr>
            <w:tcW w:w="22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None</w:t>
            </w:r>
          </w:p>
        </w:tc>
        <w:tc>
          <w:tcPr>
            <w:tcW w:w="27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Full AST traversal</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Domain ontology</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None</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None</w:t>
            </w:r>
          </w:p>
        </w:tc>
        <w:tc>
          <w:tcPr>
            <w:tcW w:w="27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HEOR constitution rules</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Agentic loop</w:t>
            </w:r>
          </w:p>
        </w:tc>
        <w:tc>
          <w:tcPr>
            <w:tcW w:w="2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Chain-of-Spreadsheet only</w:t>
            </w:r>
          </w:p>
        </w:tc>
        <w:tc>
          <w:tcPr>
            <w:tcW w:w="22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Planner-Informer-Retriever</w:t>
            </w:r>
          </w:p>
        </w:tc>
        <w:tc>
          <w:tcPr>
            <w:tcW w:w="27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Plan-Execute-Validate</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lastRenderedPageBreak/>
              <w:t>Validation layer</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None</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Partial (checklist)</w:t>
            </w:r>
          </w:p>
        </w:tc>
        <w:tc>
          <w:tcPr>
            <w:tcW w:w="27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Rule-gated output</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Audit provenance</w:t>
            </w:r>
          </w:p>
        </w:tc>
        <w:tc>
          <w:tcPr>
            <w:tcW w:w="2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Black box</w:t>
            </w:r>
          </w:p>
        </w:tc>
        <w:tc>
          <w:tcPr>
            <w:tcW w:w="22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Step logs</w:t>
            </w:r>
          </w:p>
        </w:tc>
        <w:tc>
          <w:tcPr>
            <w:tcW w:w="27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Cell-level citations</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Domain context</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General spreadsheets</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General spreadsheets</w:t>
            </w:r>
          </w:p>
        </w:tc>
        <w:tc>
          <w:tcPr>
            <w:tcW w:w="27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rsidR="00CE7F41" w:rsidRDefault="00000000">
            <w:r>
              <w:rPr>
                <w:color w:val="222222"/>
                <w:sz w:val="19"/>
                <w:szCs w:val="19"/>
              </w:rPr>
              <w:t>✅ HEOR / CUA / BIM specific</w:t>
            </w:r>
          </w:p>
        </w:tc>
      </w:tr>
      <w:tr w:rsidR="00CE7F41">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Safe write-back</w:t>
            </w:r>
          </w:p>
        </w:tc>
        <w:tc>
          <w:tcPr>
            <w:tcW w:w="21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None</w:t>
            </w:r>
          </w:p>
        </w:tc>
        <w:tc>
          <w:tcPr>
            <w:tcW w:w="22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Code execution</w:t>
            </w:r>
          </w:p>
        </w:tc>
        <w:tc>
          <w:tcPr>
            <w:tcW w:w="278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100" w:type="dxa"/>
            </w:tcMar>
          </w:tcPr>
          <w:p w:rsidR="00CE7F41" w:rsidRDefault="00000000">
            <w:r>
              <w:rPr>
                <w:color w:val="222222"/>
                <w:sz w:val="19"/>
                <w:szCs w:val="19"/>
              </w:rPr>
              <w:t>✅ VBA + diff tracking</w:t>
            </w:r>
          </w:p>
        </w:tc>
      </w:tr>
    </w:tbl>
    <w:p w:rsidR="00CE7F41" w:rsidRDefault="00CE7F41">
      <w:pPr>
        <w:spacing w:before="160"/>
      </w:pPr>
    </w:p>
    <w:p w:rsidR="00CE7F41" w:rsidRDefault="00000000">
      <w:pPr>
        <w:spacing w:before="80" w:after="100"/>
        <w:jc w:val="both"/>
      </w:pPr>
      <w:r>
        <w:rPr>
          <w:color w:val="222222"/>
        </w:rPr>
        <w:t>The table reveals a clear pattern. SpreadsheetLLM's contribution is representational: it dramatically reduces the cost of encoding a spreadsheet for LLM processing, and its structural anchor approach shows that layout matters. But it provides no formula tracing, no dependency graph, no domain ontology, and no validation layer. It is a better way to feed a spreadsheet to an LLM, not a reasoning system for computational models.</w:t>
      </w:r>
    </w:p>
    <w:p w:rsidR="00CE7F41" w:rsidRDefault="00000000">
      <w:pPr>
        <w:spacing w:before="80" w:after="100"/>
        <w:jc w:val="both"/>
      </w:pPr>
      <w:r>
        <w:rPr>
          <w:color w:val="222222"/>
        </w:rPr>
        <w:t>SheetAgent's contribution is agentic: its Planner-Informer-Retriever architecture correctly identifies that spreadsheet reasoning requires iterative, tool-based interaction rather than one-shot generation. Its performance gains over SheetCopilot (20-40% pass rate improvement) validate the agentic approach. But SheetAgent was designed for generic spreadsheet manipulation tasks. It cannot trace formulas, it has no concept of HEOR structural invariants, and it has no validation layer. Applied to a cost-utility model, it can complete generic manipulation tasks; it cannot reason about model logic, validate structural integrity, or produce audit-grade citations.</w:t>
      </w:r>
    </w:p>
    <w:p w:rsidR="00CE7F41" w:rsidRDefault="00000000">
      <w:pPr>
        <w:spacing w:before="80" w:after="100"/>
        <w:jc w:val="both"/>
      </w:pPr>
      <w:r>
        <w:rPr>
          <w:color w:val="222222"/>
        </w:rPr>
        <w:t>XLGEN extends both systems into the domain-specific, computation-aware context that HEOR requires. It builds on SheetAgent's agentic architecture, adopts SpreadsheetLLM's insight that structural anchors matter, and adds three capabilities that neither system possesses: formula-level structural navigation through an explicit dependency graph and AST, domain validation through the HEOR constitution, and audit-grade provenance through cell-level citations backed by the structural KG.</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9. Lessons Learned</w:t>
      </w:r>
    </w:p>
    <w:p w:rsidR="00CE7F41" w:rsidRDefault="00000000">
      <w:pPr>
        <w:spacing w:before="80" w:after="100"/>
        <w:jc w:val="both"/>
      </w:pPr>
      <w:r>
        <w:rPr>
          <w:color w:val="222222"/>
        </w:rPr>
        <w:t>The development of XLGEN required working through failures that the literature did not predict and the architecture did not prevent. We document these as practitioner lessons.</w:t>
      </w:r>
    </w:p>
    <w:p w:rsidR="00CE7F41" w:rsidRDefault="00000000">
      <w:pPr>
        <w:spacing w:before="200" w:after="80"/>
      </w:pPr>
      <w:r>
        <w:rPr>
          <w:b/>
          <w:bCs/>
          <w:color w:val="404040"/>
          <w:sz w:val="23"/>
          <w:szCs w:val="23"/>
        </w:rPr>
        <w:t>Lesson 1: Structure must be established before semantics, without exception</w:t>
      </w:r>
    </w:p>
    <w:p w:rsidR="00CE7F41" w:rsidRDefault="00000000">
      <w:pPr>
        <w:spacing w:before="80" w:after="100"/>
        <w:jc w:val="both"/>
      </w:pPr>
      <w:r>
        <w:rPr>
          <w:color w:val="222222"/>
        </w:rPr>
        <w:t>Every attempt to inject semantic reasoning before structural grounding was corrected by failure. When the dependency graph was incomplete, the agent hallucinated formula relationships. When bounding boxes were incorrect, table membership was wrong throughout the downstream pipeline. The correct order is: (1) establish structure deterministically; (2) validate structure with multi-signal confirmation; (3) invoke semantic reasoning against the validated structure. This order is not flexible.</w:t>
      </w:r>
    </w:p>
    <w:p w:rsidR="00CE7F41" w:rsidRDefault="00000000">
      <w:pPr>
        <w:spacing w:before="200" w:after="80"/>
      </w:pPr>
      <w:r>
        <w:rPr>
          <w:b/>
          <w:bCs/>
          <w:color w:val="404040"/>
          <w:sz w:val="23"/>
          <w:szCs w:val="23"/>
        </w:rPr>
        <w:t>Lesson 2: The structural KG and the domain ontology must be separate</w:t>
      </w:r>
    </w:p>
    <w:p w:rsidR="00CE7F41" w:rsidRDefault="00000000">
      <w:pPr>
        <w:spacing w:before="80" w:after="100"/>
        <w:jc w:val="both"/>
      </w:pPr>
      <w:r>
        <w:rPr>
          <w:color w:val="222222"/>
        </w:rPr>
        <w:t>Early prototypes merged structural nodes (cells, tables) with semantic nodes (drugs, comparators, interventions) into a single graph. This created fragility in two directions: workbook updates corrupted the semantic layer, and ontology extensions introduced inconsistency in structural traversal. The correct architecture is two distinct graphs connected by a mapping layer. The structural KG is updated deterministically when the workbook changes. The semantic ontology is updated by domain experts when the domain changes.</w:t>
      </w:r>
    </w:p>
    <w:p w:rsidR="00CE7F41" w:rsidRDefault="00000000">
      <w:pPr>
        <w:spacing w:before="200" w:after="80"/>
      </w:pPr>
      <w:r>
        <w:rPr>
          <w:b/>
          <w:bCs/>
          <w:color w:val="404040"/>
          <w:sz w:val="23"/>
          <w:szCs w:val="23"/>
        </w:rPr>
        <w:lastRenderedPageBreak/>
        <w:t>Lesson 3: The domain ontology constrains answers, it does not generate them</w:t>
      </w:r>
    </w:p>
    <w:p w:rsidR="00CE7F41" w:rsidRDefault="00000000">
      <w:pPr>
        <w:spacing w:before="80" w:after="100"/>
        <w:jc w:val="both"/>
      </w:pPr>
      <w:r>
        <w:rPr>
          <w:color w:val="222222"/>
        </w:rPr>
        <w:t>The ontology was initially conceived as a source of domain knowledge that would tell the agent what HEOR concepts mean. This was wrong. LLMs already have substantial domain knowledge about cost-effectiveness analysis. The ontology's primary value is as a constraint system: it checks whether the agent's structural reasoning has produced an output that satisfies the invariants of a valid HEOR model. It is the test suite of the HEOR reasoning system — the equivalent of the validation tests in SWE-agent's software engineering context.</w:t>
      </w:r>
    </w:p>
    <w:p w:rsidR="00CE7F41" w:rsidRDefault="00000000">
      <w:pPr>
        <w:spacing w:before="200" w:after="80"/>
      </w:pPr>
      <w:r>
        <w:rPr>
          <w:b/>
          <w:bCs/>
          <w:color w:val="404040"/>
          <w:sz w:val="23"/>
          <w:szCs w:val="23"/>
        </w:rPr>
        <w:t>Lesson 4: RAG is the last resort, not the first step</w:t>
      </w:r>
    </w:p>
    <w:p w:rsidR="00CE7F41" w:rsidRDefault="00000000">
      <w:pPr>
        <w:spacing w:before="80" w:after="100"/>
        <w:jc w:val="both"/>
      </w:pPr>
      <w:r>
        <w:rPr>
          <w:color w:val="222222"/>
        </w:rPr>
        <w:t xml:space="preserve">Retrieval-augmented generation has a clearly defined role in XLGEN: external evidence grounding, cross-model comparison, literature retrieval for unsupported parameters. It is the last step in the reasoning chain, not the first. For in-model reasoning — which covers the majority of queries practitioners have about an HE </w:t>
      </w:r>
      <w:proofErr w:type="gramStart"/>
      <w:r>
        <w:rPr>
          <w:color w:val="222222"/>
        </w:rPr>
        <w:t>model</w:t>
      </w:r>
      <w:proofErr w:type="gramEnd"/>
      <w:r>
        <w:rPr>
          <w:color w:val="222222"/>
        </w:rPr>
        <w:t xml:space="preserve"> — dependency graph traversal and formula inspection are categorically superior to vector retrieval. They are deterministic, auditable, and structurally grounded. RAG is introduced only when structural reasoning reaches its limit.</w:t>
      </w:r>
    </w:p>
    <w:p w:rsidR="00CE7F41" w:rsidRDefault="00000000">
      <w:pPr>
        <w:spacing w:before="200" w:after="80"/>
      </w:pPr>
      <w:r>
        <w:rPr>
          <w:b/>
          <w:bCs/>
          <w:color w:val="404040"/>
          <w:sz w:val="23"/>
          <w:szCs w:val="23"/>
        </w:rPr>
        <w:t>Lesson 5: The validation layer is non-negotiable in regulated domains</w:t>
      </w:r>
    </w:p>
    <w:p w:rsidR="00CE7F41" w:rsidRDefault="00000000">
      <w:pPr>
        <w:spacing w:before="80" w:after="100"/>
        <w:jc w:val="both"/>
      </w:pPr>
      <w:r>
        <w:rPr>
          <w:color w:val="222222"/>
        </w:rPr>
        <w:t>LLM outputs that have passed through structural grounding and ontology rules can still be factually wrong about model structure. The validation layer performs rule-based checks on every candidate output before return. These checks include: verifying that cited cells exist and that their formula chains support the claimed relationship; checking that comparator names are consistent across cost and outcome tables; confirming that ICER derivation follows the correct incremental structure. In a domain where outputs inform decisions about patient access to medicine, this layer is not optional.</w:t>
      </w:r>
    </w:p>
    <w:p w:rsidR="00CE7F41" w:rsidRDefault="00000000">
      <w:pPr>
        <w:spacing w:before="200" w:after="80"/>
      </w:pPr>
      <w:r>
        <w:rPr>
          <w:b/>
          <w:bCs/>
          <w:color w:val="404040"/>
          <w:sz w:val="23"/>
          <w:szCs w:val="23"/>
        </w:rPr>
        <w:t>Lesson 6: Bounding box detection quality determines system quality</w:t>
      </w:r>
    </w:p>
    <w:p w:rsidR="00CE7F41" w:rsidRDefault="00000000">
      <w:pPr>
        <w:spacing w:before="80" w:after="100"/>
        <w:jc w:val="both"/>
      </w:pPr>
      <w:r>
        <w:rPr>
          <w:color w:val="222222"/>
        </w:rPr>
        <w:t>The bounding box layer is the localization layer, and as Agentless demonstrated for software repositories, localization quality determines system quality. A structural KG built on incorrectly detected table boundaries is wrong from the ground up. We invested substantially in multi-signal BBox detection (occupancy + formatting + vision) before any other component. This investment paid compound returns throughout the rest of the system.</w:t>
      </w:r>
    </w:p>
    <w:p w:rsidR="00CE7F41" w:rsidRDefault="00000000">
      <w:pPr>
        <w:spacing w:before="200" w:after="80"/>
      </w:pPr>
      <w:r>
        <w:rPr>
          <w:b/>
          <w:bCs/>
          <w:color w:val="404040"/>
          <w:sz w:val="23"/>
          <w:szCs w:val="23"/>
        </w:rPr>
        <w:t>Lesson 7: Modular repo architecture is an operational prerequisite, not an aesthetic choice</w:t>
      </w:r>
    </w:p>
    <w:p w:rsidR="00CE7F41" w:rsidRDefault="00000000">
      <w:pPr>
        <w:spacing w:before="80" w:after="100"/>
        <w:jc w:val="both"/>
      </w:pPr>
      <w:r>
        <w:rPr>
          <w:color w:val="222222"/>
        </w:rPr>
        <w:t>Early monolithic prototypes could not be debugged, extended, or validated independently. When a BBox detection failure propagated to downstream reasoning, there was no isolation boundary to identify the failure point. The move to a modular repository architecture (Repo0 through Repo9, each with defined inputs, outputs, and JSON contracts) was not a refactoring exercise — it was the prerequisite for a system that could be tested, extended, and trusted.</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10. Implications for AI in HEOR</w:t>
      </w:r>
    </w:p>
    <w:p w:rsidR="00CE7F41" w:rsidRDefault="00000000">
      <w:pPr>
        <w:spacing w:before="80" w:after="100"/>
        <w:jc w:val="both"/>
      </w:pPr>
      <w:r>
        <w:rPr>
          <w:color w:val="222222"/>
        </w:rPr>
        <w:t>The architecture described here makes claims that extend beyond XLGEN as a product. They are claims about what any trustworthy AI system for HEOR must do.</w:t>
      </w:r>
    </w:p>
    <w:p w:rsidR="00CE7F41" w:rsidRDefault="00000000">
      <w:pPr>
        <w:spacing w:before="80" w:after="100"/>
        <w:jc w:val="both"/>
      </w:pPr>
      <w:r>
        <w:rPr>
          <w:color w:val="222222"/>
        </w:rPr>
        <w:t xml:space="preserve">First, practitioners and HTA agencies evaluating AI tools for HE </w:t>
      </w:r>
      <w:proofErr w:type="gramStart"/>
      <w:r>
        <w:rPr>
          <w:color w:val="222222"/>
        </w:rPr>
        <w:t>model</w:t>
      </w:r>
      <w:proofErr w:type="gramEnd"/>
      <w:r>
        <w:rPr>
          <w:color w:val="222222"/>
        </w:rPr>
        <w:t xml:space="preserve"> support should demand structural transparency. The correct questions to ask a vendor are: does your system build a dependency graph? Does it validate outputs against domain rules? Does it provide cell-level </w:t>
      </w:r>
      <w:r>
        <w:rPr>
          <w:color w:val="222222"/>
        </w:rPr>
        <w:lastRenderedPageBreak/>
        <w:t>provenance? A system that cannot answer yes to all three is operating below the methodological requirements of HEOR practice.</w:t>
      </w:r>
    </w:p>
    <w:p w:rsidR="00CE7F41" w:rsidRDefault="00000000">
      <w:pPr>
        <w:spacing w:before="80" w:after="100"/>
        <w:jc w:val="both"/>
      </w:pPr>
      <w:r>
        <w:rPr>
          <w:color w:val="222222"/>
        </w:rPr>
        <w:t xml:space="preserve">Second, the research community in HEOR AI needs domain-specific benchmarks. SWE-bench provided the measurement that accelerated progress in coding agents. HEOR needs its equivalent: a benchmark of HE </w:t>
      </w:r>
      <w:proofErr w:type="gramStart"/>
      <w:r>
        <w:rPr>
          <w:color w:val="222222"/>
        </w:rPr>
        <w:t>model</w:t>
      </w:r>
      <w:proofErr w:type="gramEnd"/>
      <w:r>
        <w:rPr>
          <w:color w:val="222222"/>
        </w:rPr>
        <w:t xml:space="preserve"> structural reasoning tasks — ICER location, comparator identification, cost driver tracing, structural integrity checking — with ground truth derived from published models and methodology guidelines. XLGEN's architecture points toward what such a benchmark should measure.</w:t>
      </w:r>
    </w:p>
    <w:p w:rsidR="00CE7F41" w:rsidRDefault="00000000">
      <w:pPr>
        <w:spacing w:before="80" w:after="100"/>
        <w:jc w:val="both"/>
      </w:pPr>
      <w:r>
        <w:rPr>
          <w:color w:val="222222"/>
        </w:rPr>
        <w:t>Third, the HEOR field would benefit from a published, shared structural ontology for health economic models — analogous to SNOMED CT for clinical terminology, but encoding the structural invariants of CUA, BIM, and related model types. XLGEN's constitution layer is a prototype of such an ontology. Making it open and versioned would allow any AI system for HEOR to be validated against the same set of structural requirements, creating a shared methodological foundation.</w:t>
      </w:r>
    </w:p>
    <w:p w:rsidR="00CE7F41" w:rsidRDefault="00CE7F41">
      <w:pPr>
        <w:spacing w:before="80"/>
      </w:pPr>
    </w:p>
    <w:p w:rsidR="00CE7F41" w:rsidRDefault="00CE7F41">
      <w:pPr>
        <w:pBdr>
          <w:bottom w:val="single" w:sz="4" w:space="1" w:color="2E75B6"/>
        </w:pBdr>
        <w:spacing w:before="160" w:after="160"/>
      </w:pPr>
    </w:p>
    <w:p w:rsidR="00CE7F41" w:rsidRDefault="00000000">
      <w:pPr>
        <w:pStyle w:val="Heading1"/>
      </w:pPr>
      <w:r>
        <w:t>11. Conclusion</w:t>
      </w:r>
    </w:p>
    <w:p w:rsidR="00CE7F41" w:rsidRDefault="00000000">
      <w:pPr>
        <w:spacing w:before="80" w:after="100"/>
        <w:jc w:val="both"/>
      </w:pPr>
      <w:r>
        <w:rPr>
          <w:color w:val="222222"/>
        </w:rPr>
        <w:t>The intellectual genealogy traced in this paper — from ReAct's closed-loop reasoning, through SWE-agent's ACI design principles, through SheetAgent's Planner-Informer-Retriever architecture, through SpreadsheetLLM's structural encoding insights — converges on a single conclusion: reliable AI reasoning about computational artefacts requires structural representations of those artefacts. For Excel HE models, this means a dependency graph, a formula AST, a named range registry, and a domain validation layer. No system in the prior literature provides all of these for the HEOR context. XLGEN was built to provide them.</w:t>
      </w:r>
    </w:p>
    <w:p w:rsidR="00CE7F41" w:rsidRDefault="00000000">
      <w:pPr>
        <w:spacing w:before="80" w:after="100"/>
        <w:jc w:val="both"/>
      </w:pPr>
      <w:r>
        <w:rPr>
          <w:color w:val="222222"/>
        </w:rPr>
        <w:t>The structure-first principle is not a technical preference. It is the conclusion that the literature forces. A system that treats Excel HE models as documents will hallucinate model structure, fabricate dependencies, and produce outputs that look plausible and are wrong. A system that treats Excel HE models as code — and provides agents with the structural representations that code agents require — can reason about them reliably, validate its outputs against domain rules, and provide cell-level provenance for every claim.</w:t>
      </w:r>
    </w:p>
    <w:p w:rsidR="00CE7F41" w:rsidRDefault="00000000">
      <w:pPr>
        <w:spacing w:before="80" w:after="100"/>
        <w:jc w:val="both"/>
      </w:pPr>
      <w:r>
        <w:rPr>
          <w:color w:val="222222"/>
        </w:rPr>
        <w:t>Benady Consulting is committed to documenting this architecture publicly through the Benady Doc Portal, contributing to emerging benchmarks for HEOR AI, and engaging the HEOR methodological community in the development of shared structural ontology standards. The stakes — the decisions these models inform — justify the investment in getting the architecture right.</w:t>
      </w:r>
    </w:p>
    <w:p w:rsidR="00CE7F41" w:rsidRDefault="00CE7F41">
      <w:pPr>
        <w:spacing w:before="160"/>
      </w:pPr>
    </w:p>
    <w:p w:rsidR="00CE7F41" w:rsidRDefault="00CE7F41">
      <w:pPr>
        <w:pBdr>
          <w:bottom w:val="single" w:sz="4" w:space="1" w:color="2E75B6"/>
        </w:pBdr>
        <w:spacing w:before="160" w:after="160"/>
      </w:pPr>
    </w:p>
    <w:p w:rsidR="00CE7F41" w:rsidRDefault="00000000">
      <w:pPr>
        <w:pStyle w:val="Heading1"/>
      </w:pPr>
      <w:r>
        <w:t>References</w:t>
      </w:r>
    </w:p>
    <w:p w:rsidR="00CE7F41" w:rsidRDefault="00CE7F41">
      <w:pPr>
        <w:spacing w:before="80"/>
      </w:pPr>
    </w:p>
    <w:p w:rsidR="00CE7F41" w:rsidRDefault="00000000">
      <w:pPr>
        <w:spacing w:before="40" w:after="40"/>
        <w:ind w:left="480"/>
      </w:pPr>
      <w:r>
        <w:rPr>
          <w:i/>
          <w:iCs/>
          <w:color w:val="555555"/>
          <w:sz w:val="19"/>
          <w:szCs w:val="19"/>
        </w:rPr>
        <w:t>Yao, S., Zhao, J., Yu, D., Du, N., Shafran, I., Narasimhan, K., &amp; Cao, Y. (2023). ReAct: Synergizing Reasoning and Acting in Language Models. ICLR 2023. arXiv:2210.03629.</w:t>
      </w:r>
    </w:p>
    <w:p w:rsidR="00CE7F41" w:rsidRDefault="00000000">
      <w:pPr>
        <w:spacing w:before="40" w:after="40"/>
        <w:ind w:left="480"/>
      </w:pPr>
      <w:r>
        <w:rPr>
          <w:i/>
          <w:iCs/>
          <w:color w:val="555555"/>
          <w:sz w:val="19"/>
          <w:szCs w:val="19"/>
        </w:rPr>
        <w:t>Jimenez, C. E., Yang, J., Wettig, A., Yao, S., Pei, K., Press, O., &amp; Narasimhan, K. R. (2024). SWE-bench: Can Language Models Resolve Real-World GitHub Issues? ICLR 2024.</w:t>
      </w:r>
    </w:p>
    <w:p w:rsidR="00CE7F41" w:rsidRDefault="00000000">
      <w:pPr>
        <w:spacing w:before="40" w:after="40"/>
        <w:ind w:left="480"/>
      </w:pPr>
      <w:r>
        <w:rPr>
          <w:i/>
          <w:iCs/>
          <w:color w:val="555555"/>
          <w:sz w:val="19"/>
          <w:szCs w:val="19"/>
        </w:rPr>
        <w:lastRenderedPageBreak/>
        <w:t>Yang, J., Jimenez, C. E., Wettig, A., Lieret, K., Yao, S., Narasimhan, K. R., &amp; Press, O. (2024). SWE-agent: Agent-Computer Interfaces Enable Automated Software Engineering. NeurIPS 2024. arXiv:2405.15793.</w:t>
      </w:r>
    </w:p>
    <w:p w:rsidR="00CE7F41" w:rsidRDefault="00000000">
      <w:pPr>
        <w:spacing w:before="40" w:after="40"/>
        <w:ind w:left="480"/>
      </w:pPr>
      <w:r>
        <w:rPr>
          <w:i/>
          <w:iCs/>
          <w:color w:val="555555"/>
          <w:sz w:val="19"/>
          <w:szCs w:val="19"/>
        </w:rPr>
        <w:t>Xia, C. S., Deng, Y., Dunn, S., &amp; Zhang, L. (2024). Agentless: Demystifying LLM-based Software Engineering Agents. FSE 2025. arXiv:2407.01489.</w:t>
      </w:r>
    </w:p>
    <w:p w:rsidR="00CE7F41" w:rsidRDefault="00000000">
      <w:pPr>
        <w:spacing w:before="40" w:after="40"/>
        <w:ind w:left="480"/>
      </w:pPr>
      <w:r>
        <w:rPr>
          <w:i/>
          <w:iCs/>
          <w:color w:val="555555"/>
          <w:sz w:val="19"/>
          <w:szCs w:val="19"/>
        </w:rPr>
        <w:t>Chen, Y., Yuan, Y., Zhang, Z., Zheng, Y., Liu, J., Ni, F., Hao, J., Mao, H., &amp; Zhang, F. (2024). SheetAgent: Towards a Generalist Agent for Spreadsheet Reasoning and Manipulation via Large Language Models. WWW 2025. arXiv:2403.03636.</w:t>
      </w:r>
    </w:p>
    <w:p w:rsidR="00CE7F41" w:rsidRDefault="00000000">
      <w:pPr>
        <w:spacing w:before="40" w:after="40"/>
        <w:ind w:left="480"/>
      </w:pPr>
      <w:r>
        <w:rPr>
          <w:i/>
          <w:iCs/>
          <w:color w:val="555555"/>
          <w:sz w:val="19"/>
          <w:szCs w:val="19"/>
        </w:rPr>
        <w:t>Dong, H., Zhao, J., Tian, Y., Xiong, J., Zhou, M., Lin, Y., Cambronero, J., He, Y., Han, S., &amp; Zhang, D. (2024). SpreadsheetLLM: Encoding Spreadsheets for Large Language Models. EMNLP 2024. arXiv:2407.09025.</w:t>
      </w:r>
    </w:p>
    <w:p w:rsidR="00CE7F41" w:rsidRDefault="00000000">
      <w:pPr>
        <w:spacing w:before="40" w:after="40"/>
        <w:ind w:left="480"/>
      </w:pPr>
      <w:r>
        <w:rPr>
          <w:i/>
          <w:iCs/>
          <w:color w:val="555555"/>
          <w:sz w:val="19"/>
          <w:szCs w:val="19"/>
        </w:rPr>
        <w:t>Li, H., Su, J., Chen, Y., Li, Q., &amp; Zhang, Z. (2024). SheetCopilot: Bringing Software Productivity to the Next Level through Large Language Models. NeurIPS 2024.</w:t>
      </w:r>
    </w:p>
    <w:p w:rsidR="00CE7F41" w:rsidRDefault="00000000">
      <w:pPr>
        <w:spacing w:before="40" w:after="40"/>
        <w:ind w:left="480"/>
      </w:pPr>
      <w:r>
        <w:rPr>
          <w:i/>
          <w:iCs/>
          <w:color w:val="555555"/>
          <w:sz w:val="19"/>
          <w:szCs w:val="19"/>
        </w:rPr>
        <w:t>Ma, B., et al. (2024). SpreadsheetBench: Towards Challenging Real World Spreadsheet Manipulation. arXiv:2406.14991.</w:t>
      </w:r>
    </w:p>
    <w:p w:rsidR="00CE7F41" w:rsidRDefault="00000000">
      <w:pPr>
        <w:spacing w:before="40" w:after="40"/>
        <w:ind w:left="480"/>
      </w:pPr>
      <w:r>
        <w:rPr>
          <w:i/>
          <w:iCs/>
          <w:color w:val="555555"/>
          <w:sz w:val="19"/>
          <w:szCs w:val="19"/>
        </w:rPr>
        <w:t>Antoniades, A., et al. (2024). SWE-Search: Enhancing Software Agents with Monte Carlo Tree Search and Iterative Refinement. arXiv:2410.20285.</w:t>
      </w:r>
    </w:p>
    <w:p w:rsidR="00CE7F41" w:rsidRDefault="00000000">
      <w:pPr>
        <w:spacing w:before="40" w:after="40"/>
        <w:ind w:left="480"/>
      </w:pPr>
      <w:r>
        <w:rPr>
          <w:i/>
          <w:iCs/>
          <w:color w:val="555555"/>
          <w:sz w:val="19"/>
          <w:szCs w:val="19"/>
        </w:rPr>
        <w:t>Xia, C. S., et al. (2025). Live-SWE-agent: Can Software Engineering Agents Self-Evolve on the Fly? arXiv:2511.13646.</w:t>
      </w:r>
    </w:p>
    <w:p w:rsidR="00CE7F41" w:rsidRDefault="00000000">
      <w:pPr>
        <w:spacing w:before="40" w:after="40"/>
        <w:ind w:left="480"/>
      </w:pPr>
      <w:r>
        <w:rPr>
          <w:i/>
          <w:iCs/>
          <w:color w:val="555555"/>
          <w:sz w:val="19"/>
          <w:szCs w:val="19"/>
        </w:rPr>
        <w:t>Cognition AI. (2024). SWE-bench Technical Report. cognition.ai/blog/swe-bench-technical-report.</w:t>
      </w:r>
    </w:p>
    <w:p w:rsidR="00CE7F41" w:rsidRDefault="00000000">
      <w:pPr>
        <w:spacing w:before="40" w:after="40"/>
        <w:ind w:left="480"/>
      </w:pPr>
      <w:r>
        <w:rPr>
          <w:i/>
          <w:iCs/>
          <w:color w:val="555555"/>
          <w:sz w:val="19"/>
          <w:szCs w:val="19"/>
        </w:rPr>
        <w:t>Wei, J., Wang, X., Schuurmans, D., Bosma, M., Ichter, B., Xia, F., Chi, E., Le, Q., &amp; Zhou, D. (2022). Chain-of-Thought Prompting Elicits Reasoning in Large Language Models. NeurIPS 2022.</w:t>
      </w:r>
    </w:p>
    <w:p w:rsidR="00CE7F41" w:rsidRDefault="00000000">
      <w:pPr>
        <w:spacing w:before="40" w:after="40"/>
        <w:ind w:left="480"/>
      </w:pPr>
      <w:r>
        <w:rPr>
          <w:i/>
          <w:iCs/>
          <w:color w:val="555555"/>
          <w:sz w:val="19"/>
          <w:szCs w:val="19"/>
        </w:rPr>
        <w:t>NICE. (2022). NICE health technology evaluations: the manual. National Institute for Health and Care Excellence.</w:t>
      </w:r>
    </w:p>
    <w:p w:rsidR="00CE7F41" w:rsidRDefault="00000000">
      <w:pPr>
        <w:spacing w:before="40" w:after="40"/>
        <w:ind w:left="480"/>
      </w:pPr>
      <w:r>
        <w:rPr>
          <w:i/>
          <w:iCs/>
          <w:color w:val="555555"/>
          <w:sz w:val="19"/>
          <w:szCs w:val="19"/>
        </w:rPr>
        <w:t>CADTH. (2017). Guidelines for the Economic Evaluation of Health Technologies: Canada. 4th ed. Canadian Agency for Drugs and Technologies in Health.</w:t>
      </w:r>
    </w:p>
    <w:p w:rsidR="00CE7F41" w:rsidRDefault="00CE7F41">
      <w:pPr>
        <w:spacing w:before="160"/>
      </w:pPr>
    </w:p>
    <w:p w:rsidR="00CE7F41" w:rsidRDefault="00CE7F41">
      <w:pPr>
        <w:pBdr>
          <w:bottom w:val="single" w:sz="4" w:space="1" w:color="2E75B6"/>
        </w:pBd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E7F41">
        <w:tblPrEx>
          <w:tblCellMar>
            <w:top w:w="0" w:type="dxa"/>
            <w:bottom w:w="0" w:type="dxa"/>
          </w:tblCellMar>
        </w:tblPrEx>
        <w:tc>
          <w:tcPr>
            <w:tcW w:w="9360" w:type="dxa"/>
            <w:tcBorders>
              <w:top w:val="single" w:sz="8" w:space="0" w:color="2E75B6"/>
              <w:left w:val="none" w:sz="0" w:space="0" w:color="FFFFFF"/>
              <w:bottom w:val="none" w:sz="0" w:space="0" w:color="FFFFFF"/>
              <w:right w:val="none" w:sz="0" w:space="0" w:color="FFFFFF"/>
            </w:tcBorders>
            <w:shd w:val="clear" w:color="auto" w:fill="F4F4F4"/>
            <w:tcMar>
              <w:top w:w="200" w:type="dxa"/>
              <w:left w:w="320" w:type="dxa"/>
              <w:bottom w:w="200" w:type="dxa"/>
              <w:right w:w="320" w:type="dxa"/>
            </w:tcMar>
          </w:tcPr>
          <w:p w:rsidR="00CE7F41" w:rsidRDefault="00000000">
            <w:pPr>
              <w:spacing w:after="80"/>
            </w:pPr>
            <w:r>
              <w:rPr>
                <w:b/>
                <w:bCs/>
                <w:color w:val="1B3A6B"/>
              </w:rPr>
              <w:t>About Benady Consulting</w:t>
            </w:r>
          </w:p>
          <w:p w:rsidR="00CE7F41" w:rsidRDefault="00000000">
            <w:pPr>
              <w:spacing w:before="60" w:after="40"/>
              <w:jc w:val="both"/>
            </w:pPr>
            <w:r>
              <w:rPr>
                <w:color w:val="444444"/>
                <w:sz w:val="19"/>
                <w:szCs w:val="19"/>
              </w:rPr>
              <w:t>Benady Consulting is an independent HEOR and AI consultancy specialising in structure-first AI systems for health economic models. Technical documentation and architectural guides are published openly at docs.benadyconsults.com.</w:t>
            </w:r>
          </w:p>
          <w:p w:rsidR="00CE7F41" w:rsidRDefault="00000000">
            <w:pPr>
              <w:spacing w:before="40"/>
            </w:pPr>
            <w:r>
              <w:rPr>
                <w:i/>
                <w:iCs/>
                <w:color w:val="888888"/>
                <w:sz w:val="17"/>
                <w:szCs w:val="17"/>
              </w:rPr>
              <w:t>© 2026 Benady Consulting. This document may be freely shared and cited with attribution.</w:t>
            </w:r>
          </w:p>
        </w:tc>
      </w:tr>
    </w:tbl>
    <w:p w:rsidR="00341A2E" w:rsidRDefault="00341A2E"/>
    <w:sectPr w:rsidR="00341A2E">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1A2E" w:rsidRDefault="00341A2E">
      <w:r>
        <w:separator/>
      </w:r>
    </w:p>
  </w:endnote>
  <w:endnote w:type="continuationSeparator" w:id="0">
    <w:p w:rsidR="00341A2E" w:rsidRDefault="0034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7F41" w:rsidRDefault="00000000">
    <w:pPr>
      <w:pBdr>
        <w:top w:val="single" w:sz="4" w:space="1" w:color="2E75B6"/>
      </w:pBdr>
      <w:spacing w:before="100"/>
      <w:jc w:val="center"/>
    </w:pPr>
    <w:r>
      <w:rPr>
        <w:color w:val="888888"/>
        <w:sz w:val="17"/>
        <w:szCs w:val="17"/>
      </w:rPr>
      <w:t xml:space="preserve">Benady </w:t>
    </w:r>
    <w:proofErr w:type="gramStart"/>
    <w:r>
      <w:rPr>
        <w:color w:val="888888"/>
        <w:sz w:val="17"/>
        <w:szCs w:val="17"/>
      </w:rPr>
      <w:t>Consulting  |</w:t>
    </w:r>
    <w:proofErr w:type="gramEnd"/>
    <w:r>
      <w:rPr>
        <w:color w:val="888888"/>
        <w:sz w:val="17"/>
        <w:szCs w:val="17"/>
      </w:rPr>
      <w:t xml:space="preserve">  Structure-First AI for HEOR Excel Models  |  Page </w:t>
    </w:r>
    <w:r>
      <w:fldChar w:fldCharType="begin"/>
    </w:r>
    <w:r>
      <w:instrText>PAGE</w:instrText>
    </w:r>
    <w:r>
      <w:fldChar w:fldCharType="separate"/>
    </w:r>
    <w:r w:rsidR="002921E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1A2E" w:rsidRDefault="00341A2E">
      <w:r>
        <w:separator/>
      </w:r>
    </w:p>
  </w:footnote>
  <w:footnote w:type="continuationSeparator" w:id="0">
    <w:p w:rsidR="00341A2E" w:rsidRDefault="0034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67681"/>
    <w:multiLevelType w:val="hybridMultilevel"/>
    <w:tmpl w:val="F140E6A4"/>
    <w:lvl w:ilvl="0" w:tplc="BB5688B6">
      <w:start w:val="1"/>
      <w:numFmt w:val="bullet"/>
      <w:lvlText w:val="●"/>
      <w:lvlJc w:val="left"/>
      <w:pPr>
        <w:ind w:left="720" w:hanging="360"/>
      </w:pPr>
    </w:lvl>
    <w:lvl w:ilvl="1" w:tplc="51DAB35E">
      <w:start w:val="1"/>
      <w:numFmt w:val="bullet"/>
      <w:lvlText w:val="○"/>
      <w:lvlJc w:val="left"/>
      <w:pPr>
        <w:ind w:left="1440" w:hanging="360"/>
      </w:pPr>
    </w:lvl>
    <w:lvl w:ilvl="2" w:tplc="A57AD40A">
      <w:start w:val="1"/>
      <w:numFmt w:val="bullet"/>
      <w:lvlText w:val="■"/>
      <w:lvlJc w:val="left"/>
      <w:pPr>
        <w:ind w:left="2160" w:hanging="360"/>
      </w:pPr>
    </w:lvl>
    <w:lvl w:ilvl="3" w:tplc="364C485C">
      <w:start w:val="1"/>
      <w:numFmt w:val="bullet"/>
      <w:lvlText w:val="●"/>
      <w:lvlJc w:val="left"/>
      <w:pPr>
        <w:ind w:left="2880" w:hanging="360"/>
      </w:pPr>
    </w:lvl>
    <w:lvl w:ilvl="4" w:tplc="7B723DF2">
      <w:start w:val="1"/>
      <w:numFmt w:val="bullet"/>
      <w:lvlText w:val="○"/>
      <w:lvlJc w:val="left"/>
      <w:pPr>
        <w:ind w:left="3600" w:hanging="360"/>
      </w:pPr>
    </w:lvl>
    <w:lvl w:ilvl="5" w:tplc="BC464AA4">
      <w:start w:val="1"/>
      <w:numFmt w:val="bullet"/>
      <w:lvlText w:val="■"/>
      <w:lvlJc w:val="left"/>
      <w:pPr>
        <w:ind w:left="4320" w:hanging="360"/>
      </w:pPr>
    </w:lvl>
    <w:lvl w:ilvl="6" w:tplc="CAC68C7A">
      <w:start w:val="1"/>
      <w:numFmt w:val="bullet"/>
      <w:lvlText w:val="●"/>
      <w:lvlJc w:val="left"/>
      <w:pPr>
        <w:ind w:left="5040" w:hanging="360"/>
      </w:pPr>
    </w:lvl>
    <w:lvl w:ilvl="7" w:tplc="9F367CF2">
      <w:start w:val="1"/>
      <w:numFmt w:val="bullet"/>
      <w:lvlText w:val="●"/>
      <w:lvlJc w:val="left"/>
      <w:pPr>
        <w:ind w:left="5760" w:hanging="360"/>
      </w:pPr>
    </w:lvl>
    <w:lvl w:ilvl="8" w:tplc="CC2AEF90">
      <w:start w:val="1"/>
      <w:numFmt w:val="bullet"/>
      <w:lvlText w:val="●"/>
      <w:lvlJc w:val="left"/>
      <w:pPr>
        <w:ind w:left="6480" w:hanging="360"/>
      </w:pPr>
    </w:lvl>
  </w:abstractNum>
  <w:abstractNum w:abstractNumId="1" w15:restartNumberingAfterBreak="0">
    <w:nsid w:val="51457ECC"/>
    <w:multiLevelType w:val="hybridMultilevel"/>
    <w:tmpl w:val="38AEFC74"/>
    <w:lvl w:ilvl="0" w:tplc="7090E876">
      <w:start w:val="1"/>
      <w:numFmt w:val="bullet"/>
      <w:lvlText w:val="•"/>
      <w:lvlJc w:val="left"/>
      <w:pPr>
        <w:ind w:left="560" w:hanging="280"/>
      </w:pPr>
    </w:lvl>
    <w:lvl w:ilvl="1" w:tplc="A1280840">
      <w:numFmt w:val="decimal"/>
      <w:lvlText w:val=""/>
      <w:lvlJc w:val="left"/>
    </w:lvl>
    <w:lvl w:ilvl="2" w:tplc="F1C47A0A">
      <w:numFmt w:val="decimal"/>
      <w:lvlText w:val=""/>
      <w:lvlJc w:val="left"/>
    </w:lvl>
    <w:lvl w:ilvl="3" w:tplc="5F603F96">
      <w:numFmt w:val="decimal"/>
      <w:lvlText w:val=""/>
      <w:lvlJc w:val="left"/>
    </w:lvl>
    <w:lvl w:ilvl="4" w:tplc="D4844A38">
      <w:numFmt w:val="decimal"/>
      <w:lvlText w:val=""/>
      <w:lvlJc w:val="left"/>
    </w:lvl>
    <w:lvl w:ilvl="5" w:tplc="C6BA7A6E">
      <w:numFmt w:val="decimal"/>
      <w:lvlText w:val=""/>
      <w:lvlJc w:val="left"/>
    </w:lvl>
    <w:lvl w:ilvl="6" w:tplc="4B3EE86A">
      <w:numFmt w:val="decimal"/>
      <w:lvlText w:val=""/>
      <w:lvlJc w:val="left"/>
    </w:lvl>
    <w:lvl w:ilvl="7" w:tplc="DF54400E">
      <w:numFmt w:val="decimal"/>
      <w:lvlText w:val=""/>
      <w:lvlJc w:val="left"/>
    </w:lvl>
    <w:lvl w:ilvl="8" w:tplc="C4188146">
      <w:numFmt w:val="decimal"/>
      <w:lvlText w:val=""/>
      <w:lvlJc w:val="left"/>
    </w:lvl>
  </w:abstractNum>
  <w:abstractNum w:abstractNumId="2" w15:restartNumberingAfterBreak="0">
    <w:nsid w:val="5C654910"/>
    <w:multiLevelType w:val="hybridMultilevel"/>
    <w:tmpl w:val="631A550C"/>
    <w:lvl w:ilvl="0" w:tplc="06C61B42">
      <w:start w:val="1"/>
      <w:numFmt w:val="decimal"/>
      <w:lvlText w:val="%1."/>
      <w:lvlJc w:val="left"/>
      <w:pPr>
        <w:ind w:left="560" w:hanging="280"/>
      </w:pPr>
    </w:lvl>
    <w:lvl w:ilvl="1" w:tplc="0E66A9B6">
      <w:numFmt w:val="decimal"/>
      <w:lvlText w:val=""/>
      <w:lvlJc w:val="left"/>
    </w:lvl>
    <w:lvl w:ilvl="2" w:tplc="502286A8">
      <w:numFmt w:val="decimal"/>
      <w:lvlText w:val=""/>
      <w:lvlJc w:val="left"/>
    </w:lvl>
    <w:lvl w:ilvl="3" w:tplc="547C6BFA">
      <w:numFmt w:val="decimal"/>
      <w:lvlText w:val=""/>
      <w:lvlJc w:val="left"/>
    </w:lvl>
    <w:lvl w:ilvl="4" w:tplc="DB386EF8">
      <w:numFmt w:val="decimal"/>
      <w:lvlText w:val=""/>
      <w:lvlJc w:val="left"/>
    </w:lvl>
    <w:lvl w:ilvl="5" w:tplc="953486BE">
      <w:numFmt w:val="decimal"/>
      <w:lvlText w:val=""/>
      <w:lvlJc w:val="left"/>
    </w:lvl>
    <w:lvl w:ilvl="6" w:tplc="CBE83112">
      <w:numFmt w:val="decimal"/>
      <w:lvlText w:val=""/>
      <w:lvlJc w:val="left"/>
    </w:lvl>
    <w:lvl w:ilvl="7" w:tplc="CD2CB71A">
      <w:numFmt w:val="decimal"/>
      <w:lvlText w:val=""/>
      <w:lvlJc w:val="left"/>
    </w:lvl>
    <w:lvl w:ilvl="8" w:tplc="EE62DD6C">
      <w:numFmt w:val="decimal"/>
      <w:lvlText w:val=""/>
      <w:lvlJc w:val="left"/>
    </w:lvl>
  </w:abstractNum>
  <w:num w:numId="1" w16cid:durableId="1913466685">
    <w:abstractNumId w:val="0"/>
    <w:lvlOverride w:ilvl="0">
      <w:startOverride w:val="1"/>
    </w:lvlOverride>
  </w:num>
  <w:num w:numId="2" w16cid:durableId="14975741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41"/>
    <w:rsid w:val="002921E9"/>
    <w:rsid w:val="00341A2E"/>
    <w:rsid w:val="00CE7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178F3BA9-01B3-C646-BF9E-BC0CA5E8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B3A6B"/>
      <w:sz w:val="34"/>
      <w:szCs w:val="34"/>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7244</Words>
  <Characters>41295</Characters>
  <Application>Microsoft Office Word</Application>
  <DocSecurity>0</DocSecurity>
  <Lines>344</Lines>
  <Paragraphs>96</Paragraphs>
  <ScaleCrop>false</ScaleCrop>
  <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behnam sharif</cp:lastModifiedBy>
  <cp:revision>2</cp:revision>
  <dcterms:created xsi:type="dcterms:W3CDTF">2026-02-24T22:48:00Z</dcterms:created>
  <dcterms:modified xsi:type="dcterms:W3CDTF">2026-02-24T22:48:00Z</dcterms:modified>
</cp:coreProperties>
</file>